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5FB" w:rsidRDefault="004803C0">
      <w:pPr>
        <w:rPr>
          <w:rFonts w:ascii="Times New Roman" w:hAnsi="Times New Roman"/>
          <w:noProof/>
          <w:sz w:val="24"/>
          <w:szCs w:val="24"/>
          <w:lang w:val="en-US" w:eastAsia="ru-RU"/>
        </w:rPr>
      </w:pPr>
      <w:r>
        <w:rPr>
          <w:rFonts w:ascii="Times New Roman" w:hAnsi="Times New Roman"/>
          <w:noProof/>
          <w:sz w:val="24"/>
          <w:szCs w:val="24"/>
          <w:lang w:eastAsia="ru-RU"/>
        </w:rPr>
        <w:drawing>
          <wp:inline distT="0" distB="0" distL="0" distR="0">
            <wp:extent cx="800100" cy="876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876300"/>
                    </a:xfrm>
                    <a:prstGeom prst="rect">
                      <a:avLst/>
                    </a:prstGeom>
                    <a:noFill/>
                    <a:ln>
                      <a:noFill/>
                    </a:ln>
                  </pic:spPr>
                </pic:pic>
              </a:graphicData>
            </a:graphic>
          </wp:inline>
        </w:drawing>
      </w:r>
      <w:r>
        <w:rPr>
          <w:rFonts w:ascii="Times New Roman" w:hAnsi="Times New Roman"/>
          <w:noProof/>
          <w:sz w:val="24"/>
          <w:szCs w:val="24"/>
          <w:lang w:eastAsia="ru-RU"/>
        </w:rPr>
        <w:drawing>
          <wp:inline distT="0" distB="0" distL="0" distR="0">
            <wp:extent cx="3141583" cy="75247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8282" cy="756475"/>
                    </a:xfrm>
                    <a:prstGeom prst="rect">
                      <a:avLst/>
                    </a:prstGeom>
                    <a:noFill/>
                    <a:ln>
                      <a:noFill/>
                    </a:ln>
                  </pic:spPr>
                </pic:pic>
              </a:graphicData>
            </a:graphic>
          </wp:inline>
        </w:drawing>
      </w:r>
      <w:r>
        <w:rPr>
          <w:rFonts w:ascii="Times New Roman" w:hAnsi="Times New Roman"/>
          <w:noProof/>
          <w:sz w:val="24"/>
          <w:szCs w:val="24"/>
          <w:lang w:eastAsia="ru-RU"/>
        </w:rPr>
        <w:drawing>
          <wp:inline distT="0" distB="0" distL="0" distR="0">
            <wp:extent cx="838200" cy="9048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904875"/>
                    </a:xfrm>
                    <a:prstGeom prst="rect">
                      <a:avLst/>
                    </a:prstGeom>
                    <a:noFill/>
                    <a:ln>
                      <a:noFill/>
                    </a:ln>
                  </pic:spPr>
                </pic:pic>
              </a:graphicData>
            </a:graphic>
          </wp:inline>
        </w:drawing>
      </w:r>
    </w:p>
    <w:p w:rsidR="004803C0" w:rsidRDefault="004803C0">
      <w:pPr>
        <w:rPr>
          <w:rFonts w:ascii="Times New Roman" w:hAnsi="Times New Roman"/>
          <w:noProof/>
          <w:sz w:val="24"/>
          <w:szCs w:val="24"/>
          <w:lang w:val="en-US" w:eastAsia="ru-RU"/>
        </w:rPr>
      </w:pPr>
    </w:p>
    <w:p w:rsidR="004803C0" w:rsidRPr="00FA6411" w:rsidRDefault="004803C0" w:rsidP="004803C0">
      <w:pPr>
        <w:jc w:val="center"/>
        <w:rPr>
          <w:rFonts w:ascii="Times New Roman" w:hAnsi="Times New Roman" w:cs="Times New Roman"/>
          <w:b/>
          <w:color w:val="002060"/>
          <w:sz w:val="28"/>
          <w:szCs w:val="28"/>
        </w:rPr>
      </w:pPr>
      <w:r w:rsidRPr="004803C0">
        <w:rPr>
          <w:rFonts w:ascii="Times New Roman" w:hAnsi="Times New Roman" w:cs="Times New Roman"/>
          <w:b/>
          <w:sz w:val="28"/>
          <w:szCs w:val="28"/>
        </w:rPr>
        <w:t xml:space="preserve">Тематическая встреча по HPMP: </w:t>
      </w:r>
      <w:r w:rsidRPr="004803C0">
        <w:rPr>
          <w:rFonts w:ascii="Times New Roman" w:hAnsi="Times New Roman" w:cs="Times New Roman"/>
          <w:b/>
          <w:color w:val="002060"/>
          <w:sz w:val="28"/>
          <w:szCs w:val="28"/>
        </w:rPr>
        <w:t xml:space="preserve">достижения в выполнении первоочередных действий, возможности и преграды на пути  внедрения альтернатив ГХФУ с </w:t>
      </w:r>
      <w:proofErr w:type="gramStart"/>
      <w:r w:rsidRPr="004803C0">
        <w:rPr>
          <w:rFonts w:ascii="Times New Roman" w:hAnsi="Times New Roman" w:cs="Times New Roman"/>
          <w:b/>
          <w:color w:val="002060"/>
          <w:sz w:val="28"/>
          <w:szCs w:val="28"/>
        </w:rPr>
        <w:t>нулевым</w:t>
      </w:r>
      <w:proofErr w:type="gramEnd"/>
      <w:r w:rsidRPr="004803C0">
        <w:rPr>
          <w:rFonts w:ascii="Times New Roman" w:hAnsi="Times New Roman" w:cs="Times New Roman"/>
          <w:b/>
          <w:color w:val="002060"/>
          <w:sz w:val="28"/>
          <w:szCs w:val="28"/>
        </w:rPr>
        <w:t xml:space="preserve"> или низким ПГП</w:t>
      </w:r>
    </w:p>
    <w:p w:rsidR="004803C0" w:rsidRPr="00FA6411" w:rsidRDefault="004803C0" w:rsidP="004803C0">
      <w:pPr>
        <w:spacing w:after="0"/>
        <w:jc w:val="center"/>
        <w:rPr>
          <w:rFonts w:ascii="Times New Roman" w:hAnsi="Times New Roman" w:cs="Times New Roman"/>
          <w:b/>
          <w:sz w:val="28"/>
          <w:szCs w:val="28"/>
        </w:rPr>
      </w:pPr>
      <w:r w:rsidRPr="00FA6411">
        <w:rPr>
          <w:rFonts w:ascii="Times New Roman" w:hAnsi="Times New Roman" w:cs="Times New Roman"/>
          <w:b/>
          <w:sz w:val="28"/>
          <w:szCs w:val="28"/>
        </w:rPr>
        <w:t xml:space="preserve">24-26 сентября 2013, Бишкек, </w:t>
      </w:r>
    </w:p>
    <w:p w:rsidR="004803C0" w:rsidRDefault="004803C0" w:rsidP="004803C0">
      <w:pPr>
        <w:spacing w:after="0"/>
        <w:jc w:val="center"/>
        <w:rPr>
          <w:rFonts w:ascii="Times New Roman" w:hAnsi="Times New Roman" w:cs="Times New Roman"/>
          <w:b/>
          <w:sz w:val="28"/>
          <w:szCs w:val="28"/>
        </w:rPr>
      </w:pPr>
      <w:r w:rsidRPr="00FA6411">
        <w:rPr>
          <w:rFonts w:ascii="Times New Roman" w:hAnsi="Times New Roman" w:cs="Times New Roman"/>
          <w:b/>
          <w:sz w:val="28"/>
          <w:szCs w:val="28"/>
        </w:rPr>
        <w:t>Кыргызстан</w:t>
      </w:r>
    </w:p>
    <w:p w:rsidR="004803C0" w:rsidRPr="004803C0" w:rsidRDefault="004803C0" w:rsidP="004803C0">
      <w:pPr>
        <w:spacing w:after="0"/>
        <w:jc w:val="center"/>
        <w:rPr>
          <w:rFonts w:ascii="Times New Roman" w:hAnsi="Times New Roman" w:cs="Times New Roman"/>
          <w:b/>
          <w:sz w:val="28"/>
          <w:szCs w:val="28"/>
        </w:rPr>
      </w:pPr>
    </w:p>
    <w:p w:rsidR="004803C0" w:rsidRDefault="004803C0" w:rsidP="004803C0">
      <w:pPr>
        <w:spacing w:after="0"/>
        <w:jc w:val="center"/>
        <w:rPr>
          <w:rFonts w:ascii="Times New Roman" w:hAnsi="Times New Roman" w:cs="Times New Roman"/>
          <w:b/>
          <w:sz w:val="28"/>
          <w:szCs w:val="28"/>
        </w:rPr>
      </w:pPr>
      <w:r>
        <w:rPr>
          <w:rFonts w:ascii="Times New Roman" w:hAnsi="Times New Roman" w:cs="Times New Roman"/>
          <w:b/>
          <w:sz w:val="28"/>
          <w:szCs w:val="28"/>
        </w:rPr>
        <w:t>КОНЦЕПТУАЛЬНАЯ ЗАПИСКА</w:t>
      </w:r>
    </w:p>
    <w:p w:rsidR="004803C0" w:rsidRDefault="004803C0" w:rsidP="004803C0">
      <w:pPr>
        <w:spacing w:after="0"/>
        <w:jc w:val="center"/>
        <w:rPr>
          <w:rFonts w:ascii="Times New Roman" w:hAnsi="Times New Roman" w:cs="Times New Roman"/>
          <w:b/>
          <w:sz w:val="28"/>
          <w:szCs w:val="28"/>
        </w:rPr>
      </w:pPr>
    </w:p>
    <w:p w:rsidR="004803C0" w:rsidRDefault="004803C0" w:rsidP="004803C0">
      <w:pPr>
        <w:spacing w:after="0"/>
        <w:rPr>
          <w:rFonts w:ascii="Times New Roman" w:hAnsi="Times New Roman" w:cs="Times New Roman"/>
          <w:b/>
          <w:sz w:val="24"/>
          <w:szCs w:val="24"/>
        </w:rPr>
      </w:pPr>
      <w:r w:rsidRPr="004803C0">
        <w:rPr>
          <w:rFonts w:ascii="Times New Roman" w:hAnsi="Times New Roman" w:cs="Times New Roman"/>
          <w:b/>
          <w:sz w:val="24"/>
          <w:szCs w:val="24"/>
        </w:rPr>
        <w:t>Истоки</w:t>
      </w:r>
    </w:p>
    <w:p w:rsidR="004803C0" w:rsidRDefault="004803C0" w:rsidP="004803C0">
      <w:pPr>
        <w:spacing w:after="0"/>
        <w:rPr>
          <w:rFonts w:ascii="Times New Roman" w:hAnsi="Times New Roman" w:cs="Times New Roman"/>
          <w:b/>
          <w:sz w:val="24"/>
          <w:szCs w:val="24"/>
        </w:rPr>
      </w:pPr>
    </w:p>
    <w:p w:rsidR="004803C0" w:rsidRPr="004803C0" w:rsidRDefault="004803C0" w:rsidP="004803C0">
      <w:pPr>
        <w:spacing w:after="0"/>
        <w:rPr>
          <w:rFonts w:ascii="Times New Roman" w:hAnsi="Times New Roman" w:cs="Times New Roman"/>
          <w:sz w:val="24"/>
          <w:szCs w:val="24"/>
        </w:rPr>
      </w:pPr>
      <w:r w:rsidRPr="004803C0">
        <w:rPr>
          <w:rFonts w:ascii="Times New Roman" w:hAnsi="Times New Roman" w:cs="Times New Roman"/>
          <w:sz w:val="24"/>
          <w:szCs w:val="24"/>
        </w:rPr>
        <w:t xml:space="preserve">В сентябре 2007 года стороны </w:t>
      </w:r>
      <w:proofErr w:type="spellStart"/>
      <w:r w:rsidRPr="004803C0">
        <w:rPr>
          <w:rFonts w:ascii="Times New Roman" w:hAnsi="Times New Roman" w:cs="Times New Roman"/>
          <w:sz w:val="24"/>
          <w:szCs w:val="24"/>
        </w:rPr>
        <w:t>Монреальского</w:t>
      </w:r>
      <w:proofErr w:type="spellEnd"/>
      <w:r w:rsidRPr="004803C0">
        <w:rPr>
          <w:rFonts w:ascii="Times New Roman" w:hAnsi="Times New Roman" w:cs="Times New Roman"/>
          <w:sz w:val="24"/>
          <w:szCs w:val="24"/>
        </w:rPr>
        <w:t xml:space="preserve"> протокола решили ускорить замораживание и поэтапное сокращение </w:t>
      </w:r>
      <w:proofErr w:type="spellStart"/>
      <w:r w:rsidRPr="004803C0">
        <w:rPr>
          <w:rFonts w:ascii="Times New Roman" w:hAnsi="Times New Roman" w:cs="Times New Roman"/>
          <w:sz w:val="24"/>
          <w:szCs w:val="24"/>
        </w:rPr>
        <w:t>гидрохлорфторуглеродов</w:t>
      </w:r>
      <w:proofErr w:type="spellEnd"/>
      <w:r w:rsidRPr="004803C0">
        <w:rPr>
          <w:rFonts w:ascii="Times New Roman" w:hAnsi="Times New Roman" w:cs="Times New Roman"/>
          <w:sz w:val="24"/>
          <w:szCs w:val="24"/>
        </w:rPr>
        <w:t xml:space="preserve"> (ГХФУ), - ОРВ, которые не только наносят ущерб озоновому слою, но также влекут и другие негативные экологические последствия. После принятия этого решения, Исполнительный комитет Многостороннего фонда утвердил национальные планы поэтапного сокращения ГХФУ для большинства развивающихся стран, имеющих право на поддержку. Планы управления по отказу от ГХФУ (HPMP) излагают поэтапный подход, который позволяет осуществлять мероприятия, имеющие приоритет для национальных правительств.</w:t>
      </w:r>
    </w:p>
    <w:p w:rsidR="004803C0" w:rsidRPr="004803C0" w:rsidRDefault="004803C0" w:rsidP="004803C0">
      <w:pPr>
        <w:spacing w:after="0"/>
        <w:rPr>
          <w:rFonts w:ascii="Times New Roman" w:hAnsi="Times New Roman" w:cs="Times New Roman"/>
          <w:sz w:val="24"/>
          <w:szCs w:val="24"/>
        </w:rPr>
      </w:pPr>
    </w:p>
    <w:p w:rsidR="004803C0" w:rsidRPr="004803C0" w:rsidRDefault="004803C0" w:rsidP="004803C0">
      <w:pPr>
        <w:spacing w:after="0"/>
        <w:rPr>
          <w:rFonts w:ascii="Times New Roman" w:hAnsi="Times New Roman" w:cs="Times New Roman"/>
          <w:sz w:val="24"/>
          <w:szCs w:val="24"/>
        </w:rPr>
      </w:pPr>
      <w:r w:rsidRPr="004803C0">
        <w:rPr>
          <w:rFonts w:ascii="Times New Roman" w:hAnsi="Times New Roman" w:cs="Times New Roman"/>
          <w:sz w:val="24"/>
          <w:szCs w:val="24"/>
        </w:rPr>
        <w:t xml:space="preserve">Первый этап HPMP оказывает помощь странам в выполнении базового замораживания для ГХФУ в 2013 году и сокращение на 10 процентов в 2015 году. HPMP были утверждены для Армении, Грузии, Республики Молдовы, Кыргызстана и Туркменистана в 2010-2011 годах, и страны выразили заинтересованность в консультациях в ходе реализации HPMP, учитывая тот факт, что эти страны имеют аналогичные проблемы в контексте поэтапного сокращения ГХФУ и внедрения альтернатив ГХФУ </w:t>
      </w:r>
      <w:proofErr w:type="gramStart"/>
      <w:r w:rsidRPr="004803C0">
        <w:rPr>
          <w:rFonts w:ascii="Times New Roman" w:hAnsi="Times New Roman" w:cs="Times New Roman"/>
          <w:sz w:val="24"/>
          <w:szCs w:val="24"/>
        </w:rPr>
        <w:t>с</w:t>
      </w:r>
      <w:proofErr w:type="gramEnd"/>
      <w:r w:rsidRPr="004803C0">
        <w:rPr>
          <w:rFonts w:ascii="Times New Roman" w:hAnsi="Times New Roman" w:cs="Times New Roman"/>
          <w:sz w:val="24"/>
          <w:szCs w:val="24"/>
        </w:rPr>
        <w:t xml:space="preserve"> низким/нулевым ПГП.</w:t>
      </w:r>
    </w:p>
    <w:p w:rsidR="004803C0" w:rsidRPr="004803C0" w:rsidRDefault="004803C0" w:rsidP="004803C0">
      <w:pPr>
        <w:spacing w:after="0"/>
        <w:rPr>
          <w:rFonts w:ascii="Times New Roman" w:hAnsi="Times New Roman" w:cs="Times New Roman"/>
          <w:sz w:val="24"/>
          <w:szCs w:val="24"/>
        </w:rPr>
      </w:pPr>
    </w:p>
    <w:p w:rsidR="004803C0" w:rsidRDefault="004803C0" w:rsidP="004803C0">
      <w:pPr>
        <w:spacing w:after="0"/>
        <w:rPr>
          <w:rFonts w:ascii="Times New Roman" w:hAnsi="Times New Roman" w:cs="Times New Roman"/>
          <w:sz w:val="24"/>
          <w:szCs w:val="24"/>
        </w:rPr>
      </w:pPr>
      <w:r w:rsidRPr="004803C0">
        <w:rPr>
          <w:rFonts w:ascii="Times New Roman" w:hAnsi="Times New Roman" w:cs="Times New Roman"/>
          <w:sz w:val="24"/>
          <w:szCs w:val="24"/>
        </w:rPr>
        <w:t xml:space="preserve">Таким образом, своевременное выполнение скоординированных HPMP компонентов, которые должны включать широкий спектр инвестиционной и </w:t>
      </w:r>
      <w:proofErr w:type="spellStart"/>
      <w:r w:rsidRPr="004803C0">
        <w:rPr>
          <w:rFonts w:ascii="Times New Roman" w:hAnsi="Times New Roman" w:cs="Times New Roman"/>
          <w:sz w:val="24"/>
          <w:szCs w:val="24"/>
        </w:rPr>
        <w:t>неинвестиционной</w:t>
      </w:r>
      <w:proofErr w:type="spellEnd"/>
      <w:r w:rsidRPr="004803C0">
        <w:rPr>
          <w:rFonts w:ascii="Times New Roman" w:hAnsi="Times New Roman" w:cs="Times New Roman"/>
          <w:sz w:val="24"/>
          <w:szCs w:val="24"/>
        </w:rPr>
        <w:t xml:space="preserve"> деятельности, имеет чрезвычайно </w:t>
      </w:r>
      <w:proofErr w:type="gramStart"/>
      <w:r w:rsidRPr="004803C0">
        <w:rPr>
          <w:rFonts w:ascii="Times New Roman" w:hAnsi="Times New Roman" w:cs="Times New Roman"/>
          <w:sz w:val="24"/>
          <w:szCs w:val="24"/>
        </w:rPr>
        <w:t>важное значение</w:t>
      </w:r>
      <w:proofErr w:type="gramEnd"/>
      <w:r w:rsidRPr="004803C0">
        <w:rPr>
          <w:rFonts w:ascii="Times New Roman" w:hAnsi="Times New Roman" w:cs="Times New Roman"/>
          <w:sz w:val="24"/>
          <w:szCs w:val="24"/>
        </w:rPr>
        <w:t xml:space="preserve"> для этих стран. Тематическая встреча будет организована в тесном сотрудничестве с ПРООН и ЮНИДО, поскольку партнеры являются ведущими учреждениями в оказании помощи странам региона в реализации HPMP:</w:t>
      </w:r>
    </w:p>
    <w:p w:rsidR="004803C0" w:rsidRDefault="004803C0" w:rsidP="004803C0">
      <w:pPr>
        <w:spacing w:after="0"/>
        <w:rPr>
          <w:rFonts w:ascii="Times New Roman" w:hAnsi="Times New Roman" w:cs="Times New Roman"/>
          <w:sz w:val="24"/>
          <w:szCs w:val="24"/>
        </w:rPr>
      </w:pPr>
    </w:p>
    <w:p w:rsidR="004803C0" w:rsidRDefault="004803C0" w:rsidP="004803C0">
      <w:pPr>
        <w:spacing w:after="0"/>
        <w:rPr>
          <w:rFonts w:ascii="Times New Roman" w:hAnsi="Times New Roman" w:cs="Times New Roman"/>
          <w:sz w:val="24"/>
          <w:szCs w:val="24"/>
        </w:rPr>
      </w:pPr>
    </w:p>
    <w:p w:rsidR="004803C0" w:rsidRDefault="004803C0" w:rsidP="004803C0">
      <w:pPr>
        <w:spacing w:after="0"/>
        <w:rPr>
          <w:rFonts w:ascii="Times New Roman" w:hAnsi="Times New Roman" w:cs="Times New Roman"/>
          <w:sz w:val="24"/>
          <w:szCs w:val="24"/>
        </w:rPr>
      </w:pPr>
    </w:p>
    <w:p w:rsidR="004803C0" w:rsidRDefault="004803C0" w:rsidP="004803C0">
      <w:pPr>
        <w:spacing w:after="0"/>
        <w:rPr>
          <w:rFonts w:ascii="Times New Roman" w:hAnsi="Times New Roman" w:cs="Times New Roman"/>
          <w:sz w:val="24"/>
          <w:szCs w:val="24"/>
        </w:rPr>
      </w:pPr>
    </w:p>
    <w:tbl>
      <w:tblPr>
        <w:tblStyle w:val="a5"/>
        <w:tblW w:w="0" w:type="auto"/>
        <w:tblLook w:val="04A0"/>
      </w:tblPr>
      <w:tblGrid>
        <w:gridCol w:w="1809"/>
        <w:gridCol w:w="1701"/>
        <w:gridCol w:w="1701"/>
        <w:gridCol w:w="1701"/>
        <w:gridCol w:w="2659"/>
      </w:tblGrid>
      <w:tr w:rsidR="004803C0" w:rsidRPr="004803C0" w:rsidTr="007E09F5">
        <w:tc>
          <w:tcPr>
            <w:tcW w:w="1809" w:type="dxa"/>
          </w:tcPr>
          <w:p w:rsidR="004803C0" w:rsidRPr="004803C0" w:rsidRDefault="004803C0" w:rsidP="004803C0">
            <w:pPr>
              <w:jc w:val="center"/>
              <w:rPr>
                <w:rFonts w:ascii="Times New Roman" w:hAnsi="Times New Roman" w:cs="Times New Roman"/>
                <w:b/>
                <w:sz w:val="20"/>
                <w:szCs w:val="20"/>
              </w:rPr>
            </w:pPr>
            <w:r w:rsidRPr="004803C0">
              <w:rPr>
                <w:rFonts w:ascii="Times New Roman" w:hAnsi="Times New Roman" w:cs="Times New Roman"/>
                <w:b/>
                <w:sz w:val="20"/>
                <w:szCs w:val="20"/>
              </w:rPr>
              <w:lastRenderedPageBreak/>
              <w:t>Страна</w:t>
            </w:r>
          </w:p>
        </w:tc>
        <w:tc>
          <w:tcPr>
            <w:tcW w:w="1701" w:type="dxa"/>
          </w:tcPr>
          <w:p w:rsidR="004803C0" w:rsidRPr="004803C0" w:rsidRDefault="004803C0" w:rsidP="004803C0">
            <w:pPr>
              <w:jc w:val="center"/>
              <w:rPr>
                <w:rFonts w:ascii="Times New Roman" w:hAnsi="Times New Roman" w:cs="Times New Roman"/>
                <w:b/>
                <w:sz w:val="20"/>
                <w:szCs w:val="20"/>
              </w:rPr>
            </w:pPr>
            <w:r w:rsidRPr="004803C0">
              <w:rPr>
                <w:rFonts w:ascii="Times New Roman" w:hAnsi="Times New Roman" w:cs="Times New Roman"/>
                <w:b/>
                <w:sz w:val="20"/>
                <w:szCs w:val="20"/>
              </w:rPr>
              <w:t>Вед</w:t>
            </w:r>
            <w:proofErr w:type="gramStart"/>
            <w:r w:rsidRPr="004803C0">
              <w:rPr>
                <w:rFonts w:ascii="Times New Roman" w:hAnsi="Times New Roman" w:cs="Times New Roman"/>
                <w:b/>
                <w:sz w:val="20"/>
                <w:szCs w:val="20"/>
              </w:rPr>
              <w:t>.у</w:t>
            </w:r>
            <w:proofErr w:type="gramEnd"/>
            <w:r w:rsidRPr="004803C0">
              <w:rPr>
                <w:rFonts w:ascii="Times New Roman" w:hAnsi="Times New Roman" w:cs="Times New Roman"/>
                <w:b/>
                <w:sz w:val="20"/>
                <w:szCs w:val="20"/>
              </w:rPr>
              <w:t>чреждение</w:t>
            </w:r>
          </w:p>
        </w:tc>
        <w:tc>
          <w:tcPr>
            <w:tcW w:w="1701" w:type="dxa"/>
          </w:tcPr>
          <w:p w:rsidR="004803C0" w:rsidRPr="004803C0" w:rsidRDefault="004803C0" w:rsidP="004803C0">
            <w:pPr>
              <w:jc w:val="center"/>
              <w:rPr>
                <w:rFonts w:ascii="Times New Roman" w:hAnsi="Times New Roman" w:cs="Times New Roman"/>
                <w:b/>
                <w:sz w:val="20"/>
                <w:szCs w:val="20"/>
              </w:rPr>
            </w:pPr>
            <w:proofErr w:type="spellStart"/>
            <w:r w:rsidRPr="004803C0">
              <w:rPr>
                <w:rFonts w:ascii="Times New Roman" w:hAnsi="Times New Roman" w:cs="Times New Roman"/>
                <w:b/>
                <w:sz w:val="20"/>
                <w:szCs w:val="20"/>
              </w:rPr>
              <w:t>Кооп</w:t>
            </w:r>
            <w:proofErr w:type="spellEnd"/>
            <w:r w:rsidRPr="004803C0">
              <w:rPr>
                <w:rFonts w:ascii="Times New Roman" w:hAnsi="Times New Roman" w:cs="Times New Roman"/>
                <w:b/>
                <w:sz w:val="20"/>
                <w:szCs w:val="20"/>
              </w:rPr>
              <w:t>. учреждение</w:t>
            </w:r>
          </w:p>
        </w:tc>
        <w:tc>
          <w:tcPr>
            <w:tcW w:w="1701" w:type="dxa"/>
          </w:tcPr>
          <w:p w:rsidR="004803C0" w:rsidRPr="004803C0" w:rsidRDefault="004803C0" w:rsidP="004803C0">
            <w:pPr>
              <w:jc w:val="center"/>
              <w:rPr>
                <w:rFonts w:ascii="Times New Roman" w:hAnsi="Times New Roman" w:cs="Times New Roman"/>
                <w:b/>
                <w:sz w:val="20"/>
                <w:szCs w:val="20"/>
              </w:rPr>
            </w:pPr>
            <w:r w:rsidRPr="004803C0">
              <w:rPr>
                <w:rFonts w:ascii="Times New Roman" w:hAnsi="Times New Roman" w:cs="Times New Roman"/>
                <w:b/>
                <w:sz w:val="20"/>
                <w:szCs w:val="20"/>
              </w:rPr>
              <w:t>Одобрено</w:t>
            </w:r>
            <w:proofErr w:type="gramStart"/>
            <w:r w:rsidRPr="004803C0">
              <w:rPr>
                <w:rFonts w:ascii="Times New Roman" w:hAnsi="Times New Roman" w:cs="Times New Roman"/>
                <w:b/>
                <w:sz w:val="20"/>
                <w:szCs w:val="20"/>
              </w:rPr>
              <w:t xml:space="preserve"> И</w:t>
            </w:r>
            <w:proofErr w:type="gramEnd"/>
            <w:r w:rsidRPr="004803C0">
              <w:rPr>
                <w:rFonts w:ascii="Times New Roman" w:hAnsi="Times New Roman" w:cs="Times New Roman"/>
                <w:b/>
                <w:sz w:val="20"/>
                <w:szCs w:val="20"/>
              </w:rPr>
              <w:t>сп. комитетом</w:t>
            </w:r>
          </w:p>
        </w:tc>
        <w:tc>
          <w:tcPr>
            <w:tcW w:w="2659" w:type="dxa"/>
          </w:tcPr>
          <w:p w:rsidR="004803C0" w:rsidRPr="004803C0" w:rsidRDefault="004803C0" w:rsidP="004803C0">
            <w:pPr>
              <w:jc w:val="center"/>
              <w:rPr>
                <w:rFonts w:ascii="Times New Roman" w:hAnsi="Times New Roman" w:cs="Times New Roman"/>
                <w:b/>
                <w:sz w:val="20"/>
                <w:szCs w:val="20"/>
              </w:rPr>
            </w:pPr>
            <w:r w:rsidRPr="004803C0">
              <w:rPr>
                <w:rFonts w:ascii="Times New Roman" w:hAnsi="Times New Roman" w:cs="Times New Roman"/>
                <w:b/>
                <w:sz w:val="20"/>
                <w:szCs w:val="20"/>
              </w:rPr>
              <w:t xml:space="preserve">Нынешнее состояние реализации </w:t>
            </w:r>
            <w:r w:rsidRPr="004803C0">
              <w:rPr>
                <w:rFonts w:ascii="Times New Roman" w:hAnsi="Times New Roman" w:cs="Times New Roman"/>
                <w:b/>
                <w:sz w:val="20"/>
                <w:szCs w:val="20"/>
                <w:lang w:val="en-US"/>
              </w:rPr>
              <w:t>HPMP</w:t>
            </w:r>
          </w:p>
        </w:tc>
      </w:tr>
      <w:tr w:rsidR="004803C0" w:rsidTr="007E09F5">
        <w:tc>
          <w:tcPr>
            <w:tcW w:w="1809" w:type="dxa"/>
          </w:tcPr>
          <w:p w:rsidR="004803C0" w:rsidRPr="004803C0" w:rsidRDefault="004803C0" w:rsidP="004803C0">
            <w:pPr>
              <w:jc w:val="center"/>
              <w:rPr>
                <w:rFonts w:ascii="Times New Roman" w:hAnsi="Times New Roman" w:cs="Times New Roman"/>
                <w:sz w:val="20"/>
                <w:szCs w:val="20"/>
              </w:rPr>
            </w:pPr>
            <w:r w:rsidRPr="004803C0">
              <w:rPr>
                <w:rFonts w:ascii="Times New Roman" w:hAnsi="Times New Roman" w:cs="Times New Roman"/>
                <w:sz w:val="20"/>
                <w:szCs w:val="20"/>
              </w:rPr>
              <w:t>Армения</w:t>
            </w:r>
          </w:p>
        </w:tc>
        <w:tc>
          <w:tcPr>
            <w:tcW w:w="1701" w:type="dxa"/>
          </w:tcPr>
          <w:p w:rsidR="004803C0" w:rsidRPr="004803C0" w:rsidRDefault="004803C0" w:rsidP="004803C0">
            <w:pPr>
              <w:jc w:val="center"/>
              <w:rPr>
                <w:rFonts w:ascii="Times New Roman" w:hAnsi="Times New Roman" w:cs="Times New Roman"/>
                <w:sz w:val="20"/>
                <w:szCs w:val="20"/>
              </w:rPr>
            </w:pPr>
            <w:r w:rsidRPr="004803C0">
              <w:rPr>
                <w:rFonts w:ascii="Times New Roman" w:hAnsi="Times New Roman" w:cs="Times New Roman"/>
                <w:sz w:val="20"/>
                <w:szCs w:val="20"/>
              </w:rPr>
              <w:t>ПРООН</w:t>
            </w:r>
          </w:p>
        </w:tc>
        <w:tc>
          <w:tcPr>
            <w:tcW w:w="1701" w:type="dxa"/>
          </w:tcPr>
          <w:p w:rsidR="004803C0" w:rsidRPr="004803C0" w:rsidRDefault="004803C0" w:rsidP="004803C0">
            <w:pPr>
              <w:jc w:val="center"/>
              <w:rPr>
                <w:rFonts w:ascii="Times New Roman" w:hAnsi="Times New Roman" w:cs="Times New Roman"/>
                <w:sz w:val="20"/>
                <w:szCs w:val="20"/>
              </w:rPr>
            </w:pPr>
            <w:r>
              <w:rPr>
                <w:rFonts w:ascii="Times New Roman" w:hAnsi="Times New Roman" w:cs="Times New Roman"/>
                <w:sz w:val="20"/>
                <w:szCs w:val="20"/>
              </w:rPr>
              <w:t>ЮНЕП</w:t>
            </w:r>
          </w:p>
        </w:tc>
        <w:tc>
          <w:tcPr>
            <w:tcW w:w="1701" w:type="dxa"/>
          </w:tcPr>
          <w:p w:rsidR="004803C0" w:rsidRPr="004803C0" w:rsidRDefault="004803C0" w:rsidP="004803C0">
            <w:pPr>
              <w:jc w:val="center"/>
              <w:rPr>
                <w:rFonts w:ascii="Times New Roman" w:hAnsi="Times New Roman" w:cs="Times New Roman"/>
                <w:sz w:val="20"/>
                <w:szCs w:val="20"/>
              </w:rPr>
            </w:pPr>
            <w:r w:rsidRPr="004803C0">
              <w:rPr>
                <w:rFonts w:ascii="Times New Roman" w:hAnsi="Times New Roman" w:cs="Times New Roman"/>
                <w:sz w:val="20"/>
                <w:szCs w:val="20"/>
              </w:rPr>
              <w:t>62</w:t>
            </w:r>
          </w:p>
        </w:tc>
        <w:tc>
          <w:tcPr>
            <w:tcW w:w="2659" w:type="dxa"/>
          </w:tcPr>
          <w:p w:rsidR="004803C0" w:rsidRPr="004803C0" w:rsidRDefault="004803C0" w:rsidP="004803C0">
            <w:pPr>
              <w:rPr>
                <w:rFonts w:ascii="Times New Roman" w:hAnsi="Times New Roman" w:cs="Times New Roman"/>
                <w:sz w:val="20"/>
                <w:szCs w:val="20"/>
              </w:rPr>
            </w:pPr>
            <w:r w:rsidRPr="004803C0">
              <w:rPr>
                <w:rFonts w:ascii="Times New Roman" w:hAnsi="Times New Roman" w:cs="Times New Roman"/>
                <w:sz w:val="20"/>
                <w:szCs w:val="20"/>
              </w:rPr>
              <w:t xml:space="preserve">2 транша </w:t>
            </w:r>
            <w:proofErr w:type="gramStart"/>
            <w:r w:rsidRPr="004803C0">
              <w:rPr>
                <w:rFonts w:ascii="Times New Roman" w:hAnsi="Times New Roman" w:cs="Times New Roman"/>
                <w:sz w:val="20"/>
                <w:szCs w:val="20"/>
              </w:rPr>
              <w:t>одобрены</w:t>
            </w:r>
            <w:proofErr w:type="gramEnd"/>
            <w:r w:rsidRPr="004803C0">
              <w:rPr>
                <w:rFonts w:ascii="Times New Roman" w:hAnsi="Times New Roman" w:cs="Times New Roman"/>
                <w:sz w:val="20"/>
                <w:szCs w:val="20"/>
              </w:rPr>
              <w:t xml:space="preserve"> (62 и 66)</w:t>
            </w:r>
          </w:p>
        </w:tc>
      </w:tr>
      <w:tr w:rsidR="004803C0" w:rsidTr="007E09F5">
        <w:tc>
          <w:tcPr>
            <w:tcW w:w="1809" w:type="dxa"/>
          </w:tcPr>
          <w:p w:rsidR="004803C0" w:rsidRPr="004803C0" w:rsidRDefault="004803C0" w:rsidP="004803C0">
            <w:pPr>
              <w:jc w:val="center"/>
              <w:rPr>
                <w:rFonts w:ascii="Times New Roman" w:hAnsi="Times New Roman" w:cs="Times New Roman"/>
                <w:sz w:val="20"/>
                <w:szCs w:val="20"/>
              </w:rPr>
            </w:pPr>
            <w:r w:rsidRPr="004803C0">
              <w:rPr>
                <w:rFonts w:ascii="Times New Roman" w:hAnsi="Times New Roman" w:cs="Times New Roman"/>
                <w:sz w:val="20"/>
                <w:szCs w:val="20"/>
              </w:rPr>
              <w:t>Грузия</w:t>
            </w:r>
          </w:p>
        </w:tc>
        <w:tc>
          <w:tcPr>
            <w:tcW w:w="1701" w:type="dxa"/>
          </w:tcPr>
          <w:p w:rsidR="004803C0" w:rsidRPr="004803C0" w:rsidRDefault="004803C0" w:rsidP="004803C0">
            <w:pPr>
              <w:jc w:val="center"/>
              <w:rPr>
                <w:rFonts w:ascii="Times New Roman" w:hAnsi="Times New Roman" w:cs="Times New Roman"/>
                <w:sz w:val="20"/>
                <w:szCs w:val="20"/>
              </w:rPr>
            </w:pPr>
            <w:r w:rsidRPr="004803C0">
              <w:rPr>
                <w:rFonts w:ascii="Times New Roman" w:hAnsi="Times New Roman" w:cs="Times New Roman"/>
                <w:sz w:val="20"/>
                <w:szCs w:val="20"/>
              </w:rPr>
              <w:t>ПРООН</w:t>
            </w:r>
          </w:p>
        </w:tc>
        <w:tc>
          <w:tcPr>
            <w:tcW w:w="1701" w:type="dxa"/>
          </w:tcPr>
          <w:p w:rsidR="004803C0" w:rsidRDefault="004803C0" w:rsidP="004803C0">
            <w:pPr>
              <w:jc w:val="center"/>
              <w:rPr>
                <w:rFonts w:ascii="Times New Roman" w:hAnsi="Times New Roman" w:cs="Times New Roman"/>
                <w:b/>
                <w:sz w:val="24"/>
                <w:szCs w:val="24"/>
              </w:rPr>
            </w:pPr>
            <w:r>
              <w:rPr>
                <w:rFonts w:ascii="Times New Roman" w:hAnsi="Times New Roman" w:cs="Times New Roman"/>
                <w:b/>
                <w:sz w:val="24"/>
                <w:szCs w:val="24"/>
              </w:rPr>
              <w:t>-</w:t>
            </w:r>
          </w:p>
        </w:tc>
        <w:tc>
          <w:tcPr>
            <w:tcW w:w="1701" w:type="dxa"/>
          </w:tcPr>
          <w:p w:rsidR="004803C0" w:rsidRPr="004803C0" w:rsidRDefault="004803C0" w:rsidP="004803C0">
            <w:pPr>
              <w:jc w:val="center"/>
              <w:rPr>
                <w:rFonts w:ascii="Times New Roman" w:hAnsi="Times New Roman" w:cs="Times New Roman"/>
                <w:sz w:val="20"/>
                <w:szCs w:val="20"/>
              </w:rPr>
            </w:pPr>
            <w:r w:rsidRPr="004803C0">
              <w:rPr>
                <w:rFonts w:ascii="Times New Roman" w:hAnsi="Times New Roman" w:cs="Times New Roman"/>
                <w:sz w:val="20"/>
                <w:szCs w:val="20"/>
              </w:rPr>
              <w:t>63</w:t>
            </w:r>
          </w:p>
        </w:tc>
        <w:tc>
          <w:tcPr>
            <w:tcW w:w="2659" w:type="dxa"/>
          </w:tcPr>
          <w:p w:rsidR="004803C0" w:rsidRPr="004803C0" w:rsidRDefault="004803C0" w:rsidP="004803C0">
            <w:pPr>
              <w:rPr>
                <w:rFonts w:ascii="Times New Roman" w:hAnsi="Times New Roman" w:cs="Times New Roman"/>
                <w:sz w:val="20"/>
                <w:szCs w:val="20"/>
              </w:rPr>
            </w:pPr>
            <w:r w:rsidRPr="004803C0">
              <w:rPr>
                <w:rFonts w:ascii="Times New Roman" w:hAnsi="Times New Roman" w:cs="Times New Roman"/>
                <w:sz w:val="20"/>
                <w:szCs w:val="20"/>
              </w:rPr>
              <w:t>Первый транш в стадии реализации</w:t>
            </w:r>
          </w:p>
        </w:tc>
      </w:tr>
      <w:tr w:rsidR="004803C0" w:rsidTr="007E09F5">
        <w:tc>
          <w:tcPr>
            <w:tcW w:w="1809" w:type="dxa"/>
          </w:tcPr>
          <w:p w:rsidR="004803C0" w:rsidRPr="004803C0" w:rsidRDefault="004803C0" w:rsidP="004803C0">
            <w:pPr>
              <w:jc w:val="center"/>
              <w:rPr>
                <w:rFonts w:ascii="Times New Roman" w:hAnsi="Times New Roman" w:cs="Times New Roman"/>
                <w:sz w:val="20"/>
                <w:szCs w:val="20"/>
              </w:rPr>
            </w:pPr>
            <w:r w:rsidRPr="004803C0">
              <w:rPr>
                <w:rFonts w:ascii="Times New Roman" w:hAnsi="Times New Roman" w:cs="Times New Roman"/>
                <w:sz w:val="20"/>
                <w:szCs w:val="20"/>
              </w:rPr>
              <w:t>Кыргызстан</w:t>
            </w:r>
          </w:p>
        </w:tc>
        <w:tc>
          <w:tcPr>
            <w:tcW w:w="1701" w:type="dxa"/>
          </w:tcPr>
          <w:p w:rsidR="004803C0" w:rsidRPr="004803C0" w:rsidRDefault="004803C0" w:rsidP="004803C0">
            <w:pPr>
              <w:jc w:val="center"/>
              <w:rPr>
                <w:rFonts w:ascii="Times New Roman" w:hAnsi="Times New Roman" w:cs="Times New Roman"/>
                <w:sz w:val="20"/>
                <w:szCs w:val="20"/>
              </w:rPr>
            </w:pPr>
            <w:r w:rsidRPr="004803C0">
              <w:rPr>
                <w:rFonts w:ascii="Times New Roman" w:hAnsi="Times New Roman" w:cs="Times New Roman"/>
                <w:sz w:val="20"/>
                <w:szCs w:val="20"/>
              </w:rPr>
              <w:t>ПРООН</w:t>
            </w:r>
          </w:p>
        </w:tc>
        <w:tc>
          <w:tcPr>
            <w:tcW w:w="1701" w:type="dxa"/>
          </w:tcPr>
          <w:p w:rsidR="004803C0" w:rsidRPr="004803C0" w:rsidRDefault="004803C0" w:rsidP="004803C0">
            <w:pPr>
              <w:jc w:val="center"/>
              <w:rPr>
                <w:rFonts w:ascii="Times New Roman" w:hAnsi="Times New Roman" w:cs="Times New Roman"/>
                <w:sz w:val="20"/>
                <w:szCs w:val="20"/>
              </w:rPr>
            </w:pPr>
            <w:r w:rsidRPr="004803C0">
              <w:rPr>
                <w:rFonts w:ascii="Times New Roman" w:hAnsi="Times New Roman" w:cs="Times New Roman"/>
                <w:sz w:val="20"/>
                <w:szCs w:val="20"/>
              </w:rPr>
              <w:t>ЮНЕП</w:t>
            </w:r>
          </w:p>
        </w:tc>
        <w:tc>
          <w:tcPr>
            <w:tcW w:w="1701" w:type="dxa"/>
          </w:tcPr>
          <w:p w:rsidR="004803C0" w:rsidRPr="004803C0" w:rsidRDefault="004803C0" w:rsidP="004803C0">
            <w:pPr>
              <w:jc w:val="center"/>
              <w:rPr>
                <w:rFonts w:ascii="Times New Roman" w:hAnsi="Times New Roman" w:cs="Times New Roman"/>
                <w:sz w:val="20"/>
                <w:szCs w:val="20"/>
              </w:rPr>
            </w:pPr>
            <w:r w:rsidRPr="004803C0">
              <w:rPr>
                <w:rFonts w:ascii="Times New Roman" w:hAnsi="Times New Roman" w:cs="Times New Roman"/>
                <w:sz w:val="20"/>
                <w:szCs w:val="20"/>
              </w:rPr>
              <w:t>63</w:t>
            </w:r>
          </w:p>
        </w:tc>
        <w:tc>
          <w:tcPr>
            <w:tcW w:w="2659" w:type="dxa"/>
          </w:tcPr>
          <w:p w:rsidR="004803C0" w:rsidRPr="004803C0" w:rsidRDefault="004803C0" w:rsidP="004803C0">
            <w:pPr>
              <w:rPr>
                <w:rFonts w:ascii="Times New Roman" w:hAnsi="Times New Roman" w:cs="Times New Roman"/>
                <w:sz w:val="20"/>
                <w:szCs w:val="20"/>
              </w:rPr>
            </w:pPr>
            <w:r w:rsidRPr="004803C0">
              <w:rPr>
                <w:rFonts w:ascii="Times New Roman" w:hAnsi="Times New Roman" w:cs="Times New Roman"/>
                <w:sz w:val="20"/>
                <w:szCs w:val="20"/>
              </w:rPr>
              <w:t>Первый транш в стадии реализации</w:t>
            </w:r>
          </w:p>
        </w:tc>
      </w:tr>
      <w:tr w:rsidR="004803C0" w:rsidTr="007E09F5">
        <w:tc>
          <w:tcPr>
            <w:tcW w:w="1809" w:type="dxa"/>
          </w:tcPr>
          <w:p w:rsidR="004803C0" w:rsidRPr="004803C0" w:rsidRDefault="004803C0" w:rsidP="004803C0">
            <w:pPr>
              <w:jc w:val="center"/>
              <w:rPr>
                <w:rFonts w:ascii="Times New Roman" w:hAnsi="Times New Roman" w:cs="Times New Roman"/>
                <w:sz w:val="20"/>
                <w:szCs w:val="20"/>
              </w:rPr>
            </w:pPr>
            <w:r w:rsidRPr="004803C0">
              <w:rPr>
                <w:rFonts w:ascii="Times New Roman" w:hAnsi="Times New Roman" w:cs="Times New Roman"/>
                <w:sz w:val="20"/>
                <w:szCs w:val="20"/>
              </w:rPr>
              <w:t>Молдова</w:t>
            </w:r>
          </w:p>
        </w:tc>
        <w:tc>
          <w:tcPr>
            <w:tcW w:w="1701" w:type="dxa"/>
          </w:tcPr>
          <w:p w:rsidR="004803C0" w:rsidRPr="004803C0" w:rsidRDefault="004803C0" w:rsidP="004803C0">
            <w:pPr>
              <w:jc w:val="center"/>
              <w:rPr>
                <w:rFonts w:ascii="Times New Roman" w:hAnsi="Times New Roman" w:cs="Times New Roman"/>
                <w:sz w:val="20"/>
                <w:szCs w:val="20"/>
              </w:rPr>
            </w:pPr>
            <w:r w:rsidRPr="004803C0">
              <w:rPr>
                <w:rFonts w:ascii="Times New Roman" w:hAnsi="Times New Roman" w:cs="Times New Roman"/>
                <w:sz w:val="20"/>
                <w:szCs w:val="20"/>
              </w:rPr>
              <w:t>ПРООН</w:t>
            </w:r>
          </w:p>
        </w:tc>
        <w:tc>
          <w:tcPr>
            <w:tcW w:w="1701" w:type="dxa"/>
          </w:tcPr>
          <w:p w:rsidR="004803C0" w:rsidRPr="004803C0" w:rsidRDefault="004803C0" w:rsidP="004803C0">
            <w:pPr>
              <w:jc w:val="center"/>
              <w:rPr>
                <w:rFonts w:ascii="Times New Roman" w:hAnsi="Times New Roman" w:cs="Times New Roman"/>
                <w:sz w:val="20"/>
                <w:szCs w:val="20"/>
              </w:rPr>
            </w:pPr>
            <w:r w:rsidRPr="004803C0">
              <w:rPr>
                <w:rFonts w:ascii="Times New Roman" w:hAnsi="Times New Roman" w:cs="Times New Roman"/>
                <w:sz w:val="20"/>
                <w:szCs w:val="20"/>
              </w:rPr>
              <w:t>-</w:t>
            </w:r>
          </w:p>
        </w:tc>
        <w:tc>
          <w:tcPr>
            <w:tcW w:w="1701" w:type="dxa"/>
          </w:tcPr>
          <w:p w:rsidR="004803C0" w:rsidRPr="004803C0" w:rsidRDefault="004803C0" w:rsidP="004803C0">
            <w:pPr>
              <w:jc w:val="center"/>
              <w:rPr>
                <w:rFonts w:ascii="Times New Roman" w:hAnsi="Times New Roman" w:cs="Times New Roman"/>
                <w:sz w:val="20"/>
                <w:szCs w:val="20"/>
              </w:rPr>
            </w:pPr>
            <w:r w:rsidRPr="004803C0">
              <w:rPr>
                <w:rFonts w:ascii="Times New Roman" w:hAnsi="Times New Roman" w:cs="Times New Roman"/>
                <w:sz w:val="20"/>
                <w:szCs w:val="20"/>
              </w:rPr>
              <w:t>63</w:t>
            </w:r>
          </w:p>
        </w:tc>
        <w:tc>
          <w:tcPr>
            <w:tcW w:w="2659" w:type="dxa"/>
          </w:tcPr>
          <w:p w:rsidR="004803C0" w:rsidRPr="004803C0" w:rsidRDefault="004803C0" w:rsidP="004803C0">
            <w:pPr>
              <w:rPr>
                <w:rFonts w:ascii="Times New Roman" w:hAnsi="Times New Roman" w:cs="Times New Roman"/>
                <w:sz w:val="20"/>
                <w:szCs w:val="20"/>
              </w:rPr>
            </w:pPr>
            <w:r w:rsidRPr="004803C0">
              <w:rPr>
                <w:rFonts w:ascii="Times New Roman" w:hAnsi="Times New Roman" w:cs="Times New Roman"/>
                <w:sz w:val="20"/>
                <w:szCs w:val="20"/>
              </w:rPr>
              <w:t>Первый транш в стадии реализации</w:t>
            </w:r>
          </w:p>
        </w:tc>
      </w:tr>
      <w:tr w:rsidR="004803C0" w:rsidTr="007E09F5">
        <w:tc>
          <w:tcPr>
            <w:tcW w:w="1809" w:type="dxa"/>
          </w:tcPr>
          <w:p w:rsidR="004803C0" w:rsidRPr="004803C0" w:rsidRDefault="004803C0" w:rsidP="004803C0">
            <w:pPr>
              <w:jc w:val="center"/>
              <w:rPr>
                <w:rFonts w:ascii="Times New Roman" w:hAnsi="Times New Roman" w:cs="Times New Roman"/>
                <w:sz w:val="20"/>
                <w:szCs w:val="20"/>
              </w:rPr>
            </w:pPr>
            <w:r w:rsidRPr="004803C0">
              <w:rPr>
                <w:rFonts w:ascii="Times New Roman" w:hAnsi="Times New Roman" w:cs="Times New Roman"/>
                <w:sz w:val="20"/>
                <w:szCs w:val="20"/>
              </w:rPr>
              <w:t>Туркменистан</w:t>
            </w:r>
          </w:p>
        </w:tc>
        <w:tc>
          <w:tcPr>
            <w:tcW w:w="1701" w:type="dxa"/>
          </w:tcPr>
          <w:p w:rsidR="004803C0" w:rsidRPr="004803C0" w:rsidRDefault="004803C0" w:rsidP="004803C0">
            <w:pPr>
              <w:jc w:val="center"/>
              <w:rPr>
                <w:rFonts w:ascii="Times New Roman" w:hAnsi="Times New Roman" w:cs="Times New Roman"/>
                <w:sz w:val="20"/>
                <w:szCs w:val="20"/>
              </w:rPr>
            </w:pPr>
            <w:r w:rsidRPr="004803C0">
              <w:rPr>
                <w:rFonts w:ascii="Times New Roman" w:hAnsi="Times New Roman" w:cs="Times New Roman"/>
                <w:sz w:val="20"/>
                <w:szCs w:val="20"/>
              </w:rPr>
              <w:t>ЮНИДО</w:t>
            </w:r>
          </w:p>
        </w:tc>
        <w:tc>
          <w:tcPr>
            <w:tcW w:w="1701" w:type="dxa"/>
          </w:tcPr>
          <w:p w:rsidR="004803C0" w:rsidRPr="004803C0" w:rsidRDefault="004803C0" w:rsidP="004803C0">
            <w:pPr>
              <w:jc w:val="center"/>
              <w:rPr>
                <w:rFonts w:ascii="Times New Roman" w:hAnsi="Times New Roman" w:cs="Times New Roman"/>
                <w:sz w:val="20"/>
                <w:szCs w:val="20"/>
              </w:rPr>
            </w:pPr>
            <w:r w:rsidRPr="004803C0">
              <w:rPr>
                <w:rFonts w:ascii="Times New Roman" w:hAnsi="Times New Roman" w:cs="Times New Roman"/>
                <w:sz w:val="20"/>
                <w:szCs w:val="20"/>
              </w:rPr>
              <w:t>-</w:t>
            </w:r>
          </w:p>
        </w:tc>
        <w:tc>
          <w:tcPr>
            <w:tcW w:w="1701" w:type="dxa"/>
          </w:tcPr>
          <w:p w:rsidR="004803C0" w:rsidRPr="004803C0" w:rsidRDefault="004803C0" w:rsidP="004803C0">
            <w:pPr>
              <w:jc w:val="center"/>
              <w:rPr>
                <w:rFonts w:ascii="Times New Roman" w:hAnsi="Times New Roman" w:cs="Times New Roman"/>
                <w:sz w:val="20"/>
                <w:szCs w:val="20"/>
              </w:rPr>
            </w:pPr>
            <w:r w:rsidRPr="004803C0">
              <w:rPr>
                <w:rFonts w:ascii="Times New Roman" w:hAnsi="Times New Roman" w:cs="Times New Roman"/>
                <w:sz w:val="20"/>
                <w:szCs w:val="20"/>
              </w:rPr>
              <w:t>62</w:t>
            </w:r>
          </w:p>
        </w:tc>
        <w:tc>
          <w:tcPr>
            <w:tcW w:w="2659" w:type="dxa"/>
          </w:tcPr>
          <w:p w:rsidR="004803C0" w:rsidRPr="004803C0" w:rsidRDefault="004803C0" w:rsidP="004803C0">
            <w:pPr>
              <w:rPr>
                <w:rFonts w:ascii="Times New Roman" w:hAnsi="Times New Roman" w:cs="Times New Roman"/>
                <w:sz w:val="20"/>
                <w:szCs w:val="20"/>
              </w:rPr>
            </w:pPr>
            <w:r w:rsidRPr="004803C0">
              <w:rPr>
                <w:rFonts w:ascii="Times New Roman" w:hAnsi="Times New Roman" w:cs="Times New Roman"/>
                <w:sz w:val="20"/>
                <w:szCs w:val="20"/>
              </w:rPr>
              <w:t>Первый транш в стадии реализации</w:t>
            </w:r>
          </w:p>
        </w:tc>
      </w:tr>
    </w:tbl>
    <w:p w:rsidR="004803C0" w:rsidRDefault="004803C0" w:rsidP="004803C0">
      <w:pPr>
        <w:spacing w:after="0"/>
        <w:rPr>
          <w:rFonts w:ascii="Times New Roman" w:hAnsi="Times New Roman" w:cs="Times New Roman"/>
          <w:b/>
          <w:sz w:val="24"/>
          <w:szCs w:val="24"/>
        </w:rPr>
      </w:pPr>
    </w:p>
    <w:p w:rsidR="007E09F5" w:rsidRDefault="007E09F5" w:rsidP="004803C0">
      <w:pPr>
        <w:spacing w:after="0"/>
        <w:rPr>
          <w:rFonts w:ascii="Times New Roman" w:hAnsi="Times New Roman" w:cs="Times New Roman"/>
          <w:sz w:val="24"/>
          <w:szCs w:val="24"/>
        </w:rPr>
      </w:pPr>
      <w:r w:rsidRPr="007E09F5">
        <w:rPr>
          <w:rFonts w:ascii="Times New Roman" w:hAnsi="Times New Roman" w:cs="Times New Roman"/>
          <w:sz w:val="24"/>
          <w:szCs w:val="24"/>
        </w:rPr>
        <w:t xml:space="preserve">Тематическая встреча также имеет целью служить наращиванию потенциала, который поможет странам во внедрении мер политики и других стимулов с целью соблюдения задач </w:t>
      </w:r>
      <w:proofErr w:type="spellStart"/>
      <w:r w:rsidRPr="007E09F5">
        <w:rPr>
          <w:rFonts w:ascii="Times New Roman" w:hAnsi="Times New Roman" w:cs="Times New Roman"/>
          <w:sz w:val="24"/>
          <w:szCs w:val="24"/>
        </w:rPr>
        <w:t>Монреальского</w:t>
      </w:r>
      <w:proofErr w:type="spellEnd"/>
      <w:r w:rsidRPr="007E09F5">
        <w:rPr>
          <w:rFonts w:ascii="Times New Roman" w:hAnsi="Times New Roman" w:cs="Times New Roman"/>
          <w:sz w:val="24"/>
          <w:szCs w:val="24"/>
        </w:rPr>
        <w:t xml:space="preserve"> протокола, таких как сокращение ГХФУ, способствуя введению озона и </w:t>
      </w:r>
      <w:proofErr w:type="spellStart"/>
      <w:r w:rsidRPr="007E09F5">
        <w:rPr>
          <w:rFonts w:ascii="Times New Roman" w:hAnsi="Times New Roman" w:cs="Times New Roman"/>
          <w:sz w:val="24"/>
          <w:szCs w:val="24"/>
        </w:rPr>
        <w:t>климат</w:t>
      </w:r>
      <w:proofErr w:type="gramStart"/>
      <w:r w:rsidRPr="007E09F5">
        <w:rPr>
          <w:rFonts w:ascii="Times New Roman" w:hAnsi="Times New Roman" w:cs="Times New Roman"/>
          <w:sz w:val="24"/>
          <w:szCs w:val="24"/>
        </w:rPr>
        <w:t>о</w:t>
      </w:r>
      <w:proofErr w:type="spellEnd"/>
      <w:r w:rsidRPr="007E09F5">
        <w:rPr>
          <w:rFonts w:ascii="Times New Roman" w:hAnsi="Times New Roman" w:cs="Times New Roman"/>
          <w:sz w:val="24"/>
          <w:szCs w:val="24"/>
        </w:rPr>
        <w:t>-</w:t>
      </w:r>
      <w:proofErr w:type="gramEnd"/>
      <w:r w:rsidRPr="007E09F5">
        <w:rPr>
          <w:rFonts w:ascii="Times New Roman" w:hAnsi="Times New Roman" w:cs="Times New Roman"/>
          <w:sz w:val="24"/>
          <w:szCs w:val="24"/>
        </w:rPr>
        <w:t xml:space="preserve"> благоприятных альтернатив. Важно подчеркнуть, что участники также будет изучать пути, как совмещать и следовать различным источникам финансирования природоохранной деятельности для целей соблюдения </w:t>
      </w:r>
      <w:proofErr w:type="spellStart"/>
      <w:r w:rsidRPr="007E09F5">
        <w:rPr>
          <w:rFonts w:ascii="Times New Roman" w:hAnsi="Times New Roman" w:cs="Times New Roman"/>
          <w:sz w:val="24"/>
          <w:szCs w:val="24"/>
        </w:rPr>
        <w:t>Монреальского</w:t>
      </w:r>
      <w:proofErr w:type="spellEnd"/>
      <w:r w:rsidRPr="007E09F5">
        <w:rPr>
          <w:rFonts w:ascii="Times New Roman" w:hAnsi="Times New Roman" w:cs="Times New Roman"/>
          <w:sz w:val="24"/>
          <w:szCs w:val="24"/>
        </w:rPr>
        <w:t xml:space="preserve"> протокола и внесения совместных выгод для климата.</w:t>
      </w:r>
    </w:p>
    <w:p w:rsidR="007E09F5" w:rsidRDefault="007E09F5" w:rsidP="004803C0">
      <w:pPr>
        <w:spacing w:after="0"/>
        <w:rPr>
          <w:rFonts w:ascii="Times New Roman" w:hAnsi="Times New Roman" w:cs="Times New Roman"/>
          <w:sz w:val="24"/>
          <w:szCs w:val="24"/>
        </w:rPr>
      </w:pPr>
    </w:p>
    <w:p w:rsidR="007E09F5" w:rsidRDefault="007E09F5" w:rsidP="004803C0">
      <w:pPr>
        <w:spacing w:after="0"/>
        <w:rPr>
          <w:rFonts w:ascii="Times New Roman" w:hAnsi="Times New Roman" w:cs="Times New Roman"/>
          <w:b/>
          <w:sz w:val="24"/>
          <w:szCs w:val="24"/>
        </w:rPr>
      </w:pPr>
      <w:r w:rsidRPr="007E09F5">
        <w:rPr>
          <w:rFonts w:ascii="Times New Roman" w:hAnsi="Times New Roman" w:cs="Times New Roman"/>
          <w:b/>
          <w:sz w:val="24"/>
          <w:szCs w:val="24"/>
        </w:rPr>
        <w:t>Цели тематической встречи:</w:t>
      </w:r>
    </w:p>
    <w:p w:rsidR="007E09F5" w:rsidRDefault="007E09F5" w:rsidP="004803C0">
      <w:pPr>
        <w:spacing w:after="0"/>
        <w:rPr>
          <w:rFonts w:ascii="Times New Roman" w:hAnsi="Times New Roman" w:cs="Times New Roman"/>
          <w:b/>
          <w:sz w:val="24"/>
          <w:szCs w:val="24"/>
        </w:rPr>
      </w:pPr>
    </w:p>
    <w:p w:rsidR="007E09F5" w:rsidRPr="007E09F5" w:rsidRDefault="007E09F5" w:rsidP="007E09F5">
      <w:pPr>
        <w:spacing w:after="0"/>
        <w:rPr>
          <w:rFonts w:ascii="Times New Roman" w:hAnsi="Times New Roman" w:cs="Times New Roman"/>
          <w:sz w:val="24"/>
          <w:szCs w:val="24"/>
        </w:rPr>
      </w:pPr>
      <w:r w:rsidRPr="007E09F5">
        <w:rPr>
          <w:rFonts w:ascii="Times New Roman" w:hAnsi="Times New Roman" w:cs="Times New Roman"/>
          <w:sz w:val="24"/>
          <w:szCs w:val="24"/>
        </w:rPr>
        <w:t> Обзор реализации HPMP в каждой стране: состояние и приоритетные действия (реализация инвестиционного проекта, установленные правила или принудительные, учебные мероприятия, информационно-пропагандистская деятельность и т.д.) в соответствии с целями замораживания в 2013 году и 10% сокращения в 2015 году;</w:t>
      </w:r>
    </w:p>
    <w:p w:rsidR="007E09F5" w:rsidRPr="007E09F5" w:rsidRDefault="007E09F5" w:rsidP="007E09F5">
      <w:pPr>
        <w:spacing w:after="0"/>
        <w:rPr>
          <w:rFonts w:ascii="Times New Roman" w:hAnsi="Times New Roman" w:cs="Times New Roman"/>
          <w:sz w:val="24"/>
          <w:szCs w:val="24"/>
        </w:rPr>
      </w:pPr>
      <w:r w:rsidRPr="007E09F5">
        <w:rPr>
          <w:rFonts w:ascii="Times New Roman" w:hAnsi="Times New Roman" w:cs="Times New Roman"/>
          <w:sz w:val="24"/>
          <w:szCs w:val="24"/>
        </w:rPr>
        <w:t> Обзор демонстрационных проектов (мероприятий) в секторе RAC для внедрения низких и нулевых ПГП альтернатив ГХФУ, которые были реализованы в регионе;</w:t>
      </w:r>
    </w:p>
    <w:p w:rsidR="007E09F5" w:rsidRPr="007E09F5" w:rsidRDefault="007E09F5" w:rsidP="007E09F5">
      <w:pPr>
        <w:spacing w:after="0"/>
        <w:rPr>
          <w:rFonts w:ascii="Times New Roman" w:hAnsi="Times New Roman" w:cs="Times New Roman"/>
          <w:sz w:val="24"/>
          <w:szCs w:val="24"/>
        </w:rPr>
      </w:pPr>
      <w:r w:rsidRPr="007E09F5">
        <w:rPr>
          <w:rFonts w:ascii="Times New Roman" w:hAnsi="Times New Roman" w:cs="Times New Roman"/>
          <w:sz w:val="24"/>
          <w:szCs w:val="24"/>
        </w:rPr>
        <w:t> Обмен опытом в деле укрепления реализации хороших практик обслуживания холодильного оборудования, для контроля выбросов холодильного оборудования и функционирования систем рекуперации, рециркуляции и утилизации;</w:t>
      </w:r>
    </w:p>
    <w:p w:rsidR="007E09F5" w:rsidRPr="007E09F5" w:rsidRDefault="007E09F5" w:rsidP="007E09F5">
      <w:pPr>
        <w:spacing w:after="0"/>
        <w:rPr>
          <w:rFonts w:ascii="Times New Roman" w:hAnsi="Times New Roman" w:cs="Times New Roman"/>
          <w:sz w:val="24"/>
          <w:szCs w:val="24"/>
        </w:rPr>
      </w:pPr>
      <w:r w:rsidRPr="007E09F5">
        <w:rPr>
          <w:rFonts w:ascii="Times New Roman" w:hAnsi="Times New Roman" w:cs="Times New Roman"/>
          <w:sz w:val="24"/>
          <w:szCs w:val="24"/>
        </w:rPr>
        <w:t> Обмен опытом в проведении всеобъемлющей учебной программы в секторе холодильного оборудования, охватывающей ГХФУ, ГФУ, природные хладагенты и другие вещества;</w:t>
      </w:r>
    </w:p>
    <w:p w:rsidR="007E09F5" w:rsidRPr="007E09F5" w:rsidRDefault="007E09F5" w:rsidP="007E09F5">
      <w:pPr>
        <w:spacing w:after="0"/>
        <w:rPr>
          <w:rFonts w:ascii="Times New Roman" w:hAnsi="Times New Roman" w:cs="Times New Roman"/>
          <w:sz w:val="24"/>
          <w:szCs w:val="24"/>
        </w:rPr>
      </w:pPr>
      <w:r w:rsidRPr="007E09F5">
        <w:rPr>
          <w:rFonts w:ascii="Times New Roman" w:hAnsi="Times New Roman" w:cs="Times New Roman"/>
          <w:sz w:val="24"/>
          <w:szCs w:val="24"/>
        </w:rPr>
        <w:t xml:space="preserve"> Выявление препятствий для содействия </w:t>
      </w:r>
      <w:proofErr w:type="gramStart"/>
      <w:r w:rsidRPr="007E09F5">
        <w:rPr>
          <w:rFonts w:ascii="Times New Roman" w:hAnsi="Times New Roman" w:cs="Times New Roman"/>
          <w:sz w:val="24"/>
          <w:szCs w:val="24"/>
        </w:rPr>
        <w:t>низкому</w:t>
      </w:r>
      <w:proofErr w:type="gramEnd"/>
      <w:r w:rsidRPr="007E09F5">
        <w:rPr>
          <w:rFonts w:ascii="Times New Roman" w:hAnsi="Times New Roman" w:cs="Times New Roman"/>
          <w:sz w:val="24"/>
          <w:szCs w:val="24"/>
        </w:rPr>
        <w:t xml:space="preserve"> ПГП, более </w:t>
      </w:r>
      <w:proofErr w:type="spellStart"/>
      <w:r w:rsidRPr="007E09F5">
        <w:rPr>
          <w:rFonts w:ascii="Times New Roman" w:hAnsi="Times New Roman" w:cs="Times New Roman"/>
          <w:sz w:val="24"/>
          <w:szCs w:val="24"/>
        </w:rPr>
        <w:t>энергоэффективным</w:t>
      </w:r>
      <w:proofErr w:type="spellEnd"/>
      <w:r w:rsidRPr="007E09F5">
        <w:rPr>
          <w:rFonts w:ascii="Times New Roman" w:hAnsi="Times New Roman" w:cs="Times New Roman"/>
          <w:sz w:val="24"/>
          <w:szCs w:val="24"/>
        </w:rPr>
        <w:t xml:space="preserve"> технологиям и способам устранения этих препятствий на национальном уровне;</w:t>
      </w:r>
    </w:p>
    <w:p w:rsidR="007E09F5" w:rsidRPr="007E09F5" w:rsidRDefault="007E09F5" w:rsidP="007E09F5">
      <w:pPr>
        <w:spacing w:after="0"/>
        <w:rPr>
          <w:rFonts w:ascii="Times New Roman" w:hAnsi="Times New Roman" w:cs="Times New Roman"/>
          <w:sz w:val="24"/>
          <w:szCs w:val="24"/>
        </w:rPr>
      </w:pPr>
      <w:r w:rsidRPr="007E09F5">
        <w:rPr>
          <w:rFonts w:ascii="Times New Roman" w:hAnsi="Times New Roman" w:cs="Times New Roman"/>
          <w:sz w:val="24"/>
          <w:szCs w:val="24"/>
        </w:rPr>
        <w:t>  Обзор возможных стимулов для малых и средних предприятий с целью принять    низкие и нулевые ПГП альтернативные технологии;</w:t>
      </w:r>
    </w:p>
    <w:p w:rsidR="007E09F5" w:rsidRDefault="007E09F5" w:rsidP="007E09F5">
      <w:pPr>
        <w:spacing w:after="0"/>
        <w:rPr>
          <w:rFonts w:ascii="Times New Roman" w:hAnsi="Times New Roman" w:cs="Times New Roman"/>
          <w:sz w:val="24"/>
          <w:szCs w:val="24"/>
        </w:rPr>
      </w:pPr>
      <w:r w:rsidRPr="007E09F5">
        <w:rPr>
          <w:rFonts w:ascii="Times New Roman" w:hAnsi="Times New Roman" w:cs="Times New Roman"/>
          <w:sz w:val="24"/>
          <w:szCs w:val="24"/>
        </w:rPr>
        <w:t>  Обсуждение дальнейших шагов в развитии второго этапа HPMP для Армении,                 Республики Молдовы и Кыргызстана.</w:t>
      </w:r>
    </w:p>
    <w:p w:rsidR="007E09F5" w:rsidRDefault="007E09F5" w:rsidP="007E09F5">
      <w:pPr>
        <w:spacing w:after="0"/>
        <w:rPr>
          <w:rFonts w:ascii="Times New Roman" w:hAnsi="Times New Roman" w:cs="Times New Roman"/>
          <w:sz w:val="24"/>
          <w:szCs w:val="24"/>
        </w:rPr>
      </w:pPr>
    </w:p>
    <w:p w:rsidR="007E09F5" w:rsidRDefault="007E09F5" w:rsidP="007E09F5">
      <w:pPr>
        <w:spacing w:after="0"/>
        <w:rPr>
          <w:rFonts w:ascii="Times New Roman" w:hAnsi="Times New Roman" w:cs="Times New Roman"/>
          <w:b/>
          <w:sz w:val="24"/>
          <w:szCs w:val="24"/>
        </w:rPr>
      </w:pPr>
      <w:r w:rsidRPr="007E09F5">
        <w:rPr>
          <w:rFonts w:ascii="Times New Roman" w:hAnsi="Times New Roman" w:cs="Times New Roman"/>
          <w:b/>
          <w:sz w:val="24"/>
          <w:szCs w:val="24"/>
        </w:rPr>
        <w:t>Участники и организационные вопросы</w:t>
      </w:r>
    </w:p>
    <w:p w:rsidR="007E09F5" w:rsidRDefault="007E09F5" w:rsidP="007E09F5">
      <w:pPr>
        <w:spacing w:after="0"/>
        <w:rPr>
          <w:rFonts w:ascii="Times New Roman" w:hAnsi="Times New Roman" w:cs="Times New Roman"/>
          <w:b/>
          <w:sz w:val="24"/>
          <w:szCs w:val="24"/>
        </w:rPr>
      </w:pPr>
    </w:p>
    <w:p w:rsidR="007E09F5" w:rsidRPr="007E09F5" w:rsidRDefault="007E09F5" w:rsidP="007E09F5">
      <w:pPr>
        <w:spacing w:after="0"/>
        <w:rPr>
          <w:rFonts w:ascii="Times New Roman" w:hAnsi="Times New Roman" w:cs="Times New Roman"/>
          <w:sz w:val="24"/>
          <w:szCs w:val="24"/>
        </w:rPr>
      </w:pPr>
      <w:r w:rsidRPr="007E09F5">
        <w:rPr>
          <w:rFonts w:ascii="Times New Roman" w:hAnsi="Times New Roman" w:cs="Times New Roman"/>
          <w:sz w:val="24"/>
          <w:szCs w:val="24"/>
        </w:rPr>
        <w:t xml:space="preserve">Следующие страны сети </w:t>
      </w:r>
      <w:r w:rsidR="00FA6411">
        <w:rPr>
          <w:rFonts w:ascii="Times New Roman" w:hAnsi="Times New Roman" w:cs="Times New Roman"/>
          <w:sz w:val="24"/>
          <w:szCs w:val="24"/>
        </w:rPr>
        <w:t>ВЕКЦА</w:t>
      </w:r>
      <w:r w:rsidRPr="007E09F5">
        <w:rPr>
          <w:rFonts w:ascii="Times New Roman" w:hAnsi="Times New Roman" w:cs="Times New Roman"/>
          <w:sz w:val="24"/>
          <w:szCs w:val="24"/>
        </w:rPr>
        <w:t xml:space="preserve"> выразили заинтересованность в участии в тематической встрече: Армения, Грузия, Кыргызстан, Республика Молдова и Туркменистан. Двум представителям от каждой из выше перечисленных стран будет предложено принять участие (финансируется ЮНЕП). Одному представителю от Национального </w:t>
      </w:r>
      <w:r w:rsidRPr="007E09F5">
        <w:rPr>
          <w:rFonts w:ascii="Times New Roman" w:hAnsi="Times New Roman" w:cs="Times New Roman"/>
          <w:sz w:val="24"/>
          <w:szCs w:val="24"/>
        </w:rPr>
        <w:lastRenderedPageBreak/>
        <w:t>подразделения по озону и одному представителю от ассоциации RAC в стране рекомендуется принять участие.</w:t>
      </w:r>
    </w:p>
    <w:p w:rsidR="007E09F5" w:rsidRPr="007E09F5" w:rsidRDefault="007E09F5" w:rsidP="007E09F5">
      <w:pPr>
        <w:spacing w:after="0"/>
        <w:rPr>
          <w:rFonts w:ascii="Times New Roman" w:hAnsi="Times New Roman" w:cs="Times New Roman"/>
          <w:sz w:val="24"/>
          <w:szCs w:val="24"/>
        </w:rPr>
      </w:pPr>
    </w:p>
    <w:p w:rsidR="007E09F5" w:rsidRPr="007E09F5" w:rsidRDefault="007E09F5" w:rsidP="007E09F5">
      <w:pPr>
        <w:spacing w:after="0"/>
        <w:rPr>
          <w:rFonts w:ascii="Times New Roman" w:hAnsi="Times New Roman" w:cs="Times New Roman"/>
          <w:sz w:val="24"/>
          <w:szCs w:val="24"/>
        </w:rPr>
      </w:pPr>
      <w:r w:rsidRPr="007E09F5">
        <w:rPr>
          <w:rFonts w:ascii="Times New Roman" w:hAnsi="Times New Roman" w:cs="Times New Roman"/>
          <w:sz w:val="24"/>
          <w:szCs w:val="24"/>
        </w:rPr>
        <w:t>Встреча будет проводиться совместно ЮНЕП и Озоновым центром Кыргызстана.</w:t>
      </w:r>
    </w:p>
    <w:p w:rsidR="007E09F5" w:rsidRPr="007E09F5" w:rsidRDefault="007E09F5" w:rsidP="007E09F5">
      <w:pPr>
        <w:spacing w:after="0"/>
        <w:rPr>
          <w:rFonts w:ascii="Times New Roman" w:hAnsi="Times New Roman" w:cs="Times New Roman"/>
          <w:sz w:val="24"/>
          <w:szCs w:val="24"/>
        </w:rPr>
      </w:pPr>
    </w:p>
    <w:p w:rsidR="007E09F5" w:rsidRPr="007E09F5" w:rsidRDefault="007E09F5" w:rsidP="007E09F5">
      <w:pPr>
        <w:spacing w:after="0"/>
        <w:rPr>
          <w:rFonts w:ascii="Times New Roman" w:hAnsi="Times New Roman" w:cs="Times New Roman"/>
          <w:sz w:val="24"/>
          <w:szCs w:val="24"/>
        </w:rPr>
      </w:pPr>
      <w:r w:rsidRPr="007E09F5">
        <w:rPr>
          <w:rFonts w:ascii="Times New Roman" w:hAnsi="Times New Roman" w:cs="Times New Roman"/>
          <w:sz w:val="24"/>
          <w:szCs w:val="24"/>
        </w:rPr>
        <w:t xml:space="preserve">Международный консультант будет приглашен для представления и облегчения обсуждения вопросов, касающихся существующих возможностей и барьеров в регионе. Представитель ЮНЕП </w:t>
      </w:r>
      <w:proofErr w:type="spellStart"/>
      <w:r w:rsidRPr="007E09F5">
        <w:rPr>
          <w:rFonts w:ascii="Times New Roman" w:hAnsi="Times New Roman" w:cs="Times New Roman"/>
          <w:sz w:val="24"/>
          <w:szCs w:val="24"/>
        </w:rPr>
        <w:t>ОзонЭкшн</w:t>
      </w:r>
      <w:proofErr w:type="spellEnd"/>
      <w:r w:rsidRPr="007E09F5">
        <w:rPr>
          <w:rFonts w:ascii="Times New Roman" w:hAnsi="Times New Roman" w:cs="Times New Roman"/>
          <w:sz w:val="24"/>
          <w:szCs w:val="24"/>
        </w:rPr>
        <w:t xml:space="preserve"> примет участие в качестве организатора тематической встречи. Эксперты ПРООН и ЮНИДО будет также способствовать работе тематической встречи путем обмена опытом и уроками, полученными от Многостороннего фонда и проектов, финансируемых ГЭФ.</w:t>
      </w:r>
    </w:p>
    <w:p w:rsidR="007E09F5" w:rsidRPr="007E09F5" w:rsidRDefault="007E09F5" w:rsidP="007E09F5">
      <w:pPr>
        <w:spacing w:after="0"/>
        <w:rPr>
          <w:rFonts w:ascii="Times New Roman" w:hAnsi="Times New Roman" w:cs="Times New Roman"/>
          <w:sz w:val="24"/>
          <w:szCs w:val="24"/>
        </w:rPr>
      </w:pPr>
    </w:p>
    <w:p w:rsidR="007E09F5" w:rsidRDefault="007E09F5" w:rsidP="007E09F5">
      <w:pPr>
        <w:spacing w:after="0"/>
        <w:rPr>
          <w:rFonts w:ascii="Times New Roman" w:hAnsi="Times New Roman" w:cs="Times New Roman"/>
          <w:sz w:val="24"/>
          <w:szCs w:val="24"/>
        </w:rPr>
      </w:pPr>
      <w:r w:rsidRPr="007E09F5">
        <w:rPr>
          <w:rFonts w:ascii="Times New Roman" w:hAnsi="Times New Roman" w:cs="Times New Roman"/>
          <w:sz w:val="24"/>
          <w:szCs w:val="24"/>
        </w:rPr>
        <w:t>Языком встречи будет русский язык.</w:t>
      </w:r>
    </w:p>
    <w:p w:rsidR="007E09F5" w:rsidRDefault="007E09F5" w:rsidP="007E09F5">
      <w:pPr>
        <w:spacing w:after="0"/>
        <w:rPr>
          <w:rFonts w:ascii="Times New Roman" w:hAnsi="Times New Roman" w:cs="Times New Roman"/>
          <w:sz w:val="24"/>
          <w:szCs w:val="24"/>
        </w:rPr>
      </w:pPr>
    </w:p>
    <w:p w:rsidR="007E09F5" w:rsidRDefault="007E09F5" w:rsidP="007E09F5">
      <w:pPr>
        <w:spacing w:after="0"/>
        <w:rPr>
          <w:rFonts w:ascii="Times New Roman" w:hAnsi="Times New Roman" w:cs="Times New Roman"/>
          <w:b/>
          <w:sz w:val="24"/>
          <w:szCs w:val="24"/>
        </w:rPr>
      </w:pPr>
      <w:r w:rsidRPr="007E09F5">
        <w:rPr>
          <w:rFonts w:ascii="Times New Roman" w:hAnsi="Times New Roman" w:cs="Times New Roman"/>
          <w:b/>
          <w:sz w:val="24"/>
          <w:szCs w:val="24"/>
        </w:rPr>
        <w:t>Место проведения встречи и проживание</w:t>
      </w:r>
    </w:p>
    <w:p w:rsidR="007E09F5" w:rsidRDefault="007E09F5" w:rsidP="007E09F5">
      <w:pPr>
        <w:spacing w:after="0"/>
        <w:rPr>
          <w:rFonts w:ascii="Times New Roman" w:hAnsi="Times New Roman" w:cs="Times New Roman"/>
          <w:b/>
          <w:sz w:val="24"/>
          <w:szCs w:val="24"/>
        </w:rPr>
      </w:pPr>
    </w:p>
    <w:p w:rsidR="007E09F5" w:rsidRDefault="007E09F5" w:rsidP="007E09F5">
      <w:pPr>
        <w:spacing w:after="0"/>
        <w:rPr>
          <w:rFonts w:ascii="Times New Roman" w:hAnsi="Times New Roman" w:cs="Times New Roman"/>
          <w:sz w:val="24"/>
          <w:szCs w:val="24"/>
        </w:rPr>
      </w:pPr>
      <w:r w:rsidRPr="007E09F5">
        <w:rPr>
          <w:rFonts w:ascii="Times New Roman" w:hAnsi="Times New Roman" w:cs="Times New Roman"/>
          <w:sz w:val="24"/>
          <w:szCs w:val="24"/>
        </w:rPr>
        <w:t>Встреча состоится 24-26 сентября 2013 года в Бишкеке, Кыргызстан. Проживание для участников и консультантов будет организовано на месте.</w:t>
      </w:r>
    </w:p>
    <w:p w:rsidR="007E09F5" w:rsidRDefault="007E09F5" w:rsidP="007E09F5">
      <w:pPr>
        <w:spacing w:after="0"/>
        <w:rPr>
          <w:rFonts w:ascii="Times New Roman" w:hAnsi="Times New Roman" w:cs="Times New Roman"/>
          <w:sz w:val="24"/>
          <w:szCs w:val="24"/>
        </w:rPr>
      </w:pPr>
    </w:p>
    <w:p w:rsidR="007E09F5" w:rsidRDefault="007E09F5" w:rsidP="007E09F5">
      <w:pPr>
        <w:spacing w:after="0"/>
        <w:rPr>
          <w:rFonts w:ascii="Times New Roman" w:hAnsi="Times New Roman" w:cs="Times New Roman"/>
          <w:b/>
          <w:sz w:val="24"/>
          <w:szCs w:val="24"/>
        </w:rPr>
      </w:pPr>
      <w:r w:rsidRPr="007E09F5">
        <w:rPr>
          <w:rFonts w:ascii="Times New Roman" w:hAnsi="Times New Roman" w:cs="Times New Roman"/>
          <w:b/>
          <w:sz w:val="24"/>
          <w:szCs w:val="24"/>
        </w:rPr>
        <w:t>Документы встречи</w:t>
      </w:r>
    </w:p>
    <w:p w:rsidR="007E09F5" w:rsidRDefault="007E09F5" w:rsidP="007E09F5">
      <w:pPr>
        <w:spacing w:after="0"/>
        <w:rPr>
          <w:rFonts w:ascii="Times New Roman" w:hAnsi="Times New Roman" w:cs="Times New Roman"/>
          <w:b/>
          <w:sz w:val="24"/>
          <w:szCs w:val="24"/>
        </w:rPr>
      </w:pPr>
    </w:p>
    <w:p w:rsidR="007E09F5" w:rsidRDefault="007E09F5" w:rsidP="007E09F5">
      <w:pPr>
        <w:spacing w:after="0"/>
        <w:rPr>
          <w:rFonts w:ascii="Times New Roman" w:hAnsi="Times New Roman" w:cs="Times New Roman"/>
          <w:sz w:val="24"/>
          <w:szCs w:val="24"/>
        </w:rPr>
      </w:pPr>
      <w:r w:rsidRPr="007E09F5">
        <w:rPr>
          <w:rFonts w:ascii="Times New Roman" w:hAnsi="Times New Roman" w:cs="Times New Roman"/>
          <w:sz w:val="24"/>
          <w:szCs w:val="24"/>
        </w:rPr>
        <w:t xml:space="preserve">Документы встречи, включая обновления концептуальной записки, повестки дня, списка участников и рекомендаций, будут предоставляться на веб-сайте </w:t>
      </w:r>
      <w:r w:rsidR="00FA6411" w:rsidRPr="00FA6411">
        <w:rPr>
          <w:rFonts w:ascii="Times New Roman" w:hAnsi="Times New Roman" w:cs="Times New Roman"/>
          <w:sz w:val="24"/>
          <w:szCs w:val="24"/>
        </w:rPr>
        <w:t>ВЕКЦА</w:t>
      </w:r>
      <w:r w:rsidRPr="007E09F5">
        <w:rPr>
          <w:rFonts w:ascii="Times New Roman" w:hAnsi="Times New Roman" w:cs="Times New Roman"/>
          <w:sz w:val="24"/>
          <w:szCs w:val="24"/>
        </w:rPr>
        <w:t xml:space="preserve">: </w:t>
      </w:r>
      <w:hyperlink r:id="rId7" w:history="1">
        <w:r w:rsidRPr="004A33C4">
          <w:rPr>
            <w:rStyle w:val="a6"/>
            <w:rFonts w:ascii="Times New Roman" w:hAnsi="Times New Roman" w:cs="Times New Roman"/>
            <w:sz w:val="24"/>
            <w:szCs w:val="24"/>
          </w:rPr>
          <w:t>http://www.unep.org/ozonaction/ecanetwork</w:t>
        </w:r>
      </w:hyperlink>
    </w:p>
    <w:p w:rsidR="007E09F5" w:rsidRDefault="007E09F5" w:rsidP="007E09F5">
      <w:pPr>
        <w:spacing w:after="0"/>
        <w:rPr>
          <w:rFonts w:ascii="Times New Roman" w:hAnsi="Times New Roman" w:cs="Times New Roman"/>
          <w:sz w:val="24"/>
          <w:szCs w:val="24"/>
        </w:rPr>
      </w:pPr>
    </w:p>
    <w:p w:rsidR="007E09F5" w:rsidRPr="007E09F5" w:rsidRDefault="007E09F5" w:rsidP="007E09F5">
      <w:pPr>
        <w:spacing w:after="0"/>
        <w:rPr>
          <w:rFonts w:ascii="Times New Roman" w:hAnsi="Times New Roman" w:cs="Times New Roman"/>
          <w:b/>
          <w:sz w:val="24"/>
          <w:szCs w:val="24"/>
        </w:rPr>
      </w:pPr>
      <w:r w:rsidRPr="007E09F5">
        <w:rPr>
          <w:rFonts w:ascii="Times New Roman" w:hAnsi="Times New Roman" w:cs="Times New Roman"/>
          <w:b/>
          <w:sz w:val="24"/>
          <w:szCs w:val="24"/>
        </w:rPr>
        <w:t>Контакты в Кыргызстане:</w:t>
      </w:r>
    </w:p>
    <w:p w:rsidR="007E09F5" w:rsidRDefault="007E09F5" w:rsidP="007E09F5">
      <w:pPr>
        <w:spacing w:after="0"/>
        <w:rPr>
          <w:rFonts w:ascii="Times New Roman" w:hAnsi="Times New Roman" w:cs="Times New Roman"/>
          <w:sz w:val="24"/>
          <w:szCs w:val="24"/>
        </w:rPr>
      </w:pPr>
    </w:p>
    <w:p w:rsidR="007E09F5" w:rsidRPr="007E09F5" w:rsidRDefault="007E09F5" w:rsidP="007E09F5">
      <w:pPr>
        <w:spacing w:after="0"/>
        <w:rPr>
          <w:rFonts w:ascii="Times New Roman" w:hAnsi="Times New Roman" w:cs="Times New Roman"/>
          <w:sz w:val="24"/>
          <w:szCs w:val="24"/>
        </w:rPr>
      </w:pPr>
      <w:r w:rsidRPr="007E09F5">
        <w:rPr>
          <w:rFonts w:ascii="Times New Roman" w:hAnsi="Times New Roman" w:cs="Times New Roman"/>
          <w:sz w:val="24"/>
          <w:szCs w:val="24"/>
        </w:rPr>
        <w:t xml:space="preserve">Марс </w:t>
      </w:r>
      <w:proofErr w:type="spellStart"/>
      <w:r w:rsidRPr="007E09F5">
        <w:rPr>
          <w:rFonts w:ascii="Times New Roman" w:hAnsi="Times New Roman" w:cs="Times New Roman"/>
          <w:sz w:val="24"/>
          <w:szCs w:val="24"/>
        </w:rPr>
        <w:t>Аманалиев</w:t>
      </w:r>
      <w:proofErr w:type="spellEnd"/>
      <w:r w:rsidRPr="007E09F5">
        <w:rPr>
          <w:rFonts w:ascii="Times New Roman" w:hAnsi="Times New Roman" w:cs="Times New Roman"/>
          <w:sz w:val="24"/>
          <w:szCs w:val="24"/>
        </w:rPr>
        <w:t>,</w:t>
      </w:r>
    </w:p>
    <w:p w:rsidR="007E09F5" w:rsidRPr="007E09F5" w:rsidRDefault="007E09F5" w:rsidP="007E09F5">
      <w:pPr>
        <w:spacing w:after="0"/>
        <w:rPr>
          <w:rFonts w:ascii="Times New Roman" w:hAnsi="Times New Roman" w:cs="Times New Roman"/>
          <w:sz w:val="24"/>
          <w:szCs w:val="24"/>
        </w:rPr>
      </w:pPr>
      <w:r w:rsidRPr="007E09F5">
        <w:rPr>
          <w:rFonts w:ascii="Times New Roman" w:hAnsi="Times New Roman" w:cs="Times New Roman"/>
          <w:sz w:val="24"/>
          <w:szCs w:val="24"/>
        </w:rPr>
        <w:t>Руководитель Озонового Центра Кыргызстана(НОО),</w:t>
      </w:r>
    </w:p>
    <w:p w:rsidR="007E09F5" w:rsidRPr="007E09F5" w:rsidRDefault="007E09F5" w:rsidP="007E09F5">
      <w:pPr>
        <w:spacing w:after="0"/>
        <w:rPr>
          <w:rFonts w:ascii="Times New Roman" w:hAnsi="Times New Roman" w:cs="Times New Roman"/>
          <w:sz w:val="24"/>
          <w:szCs w:val="24"/>
        </w:rPr>
      </w:pPr>
      <w:r w:rsidRPr="007E09F5">
        <w:rPr>
          <w:rFonts w:ascii="Times New Roman" w:hAnsi="Times New Roman" w:cs="Times New Roman"/>
          <w:sz w:val="24"/>
          <w:szCs w:val="24"/>
        </w:rPr>
        <w:t>Государственное агентство охраны окружающей среды и лесного хозяйства,</w:t>
      </w:r>
    </w:p>
    <w:p w:rsidR="007E09F5" w:rsidRPr="007E09F5" w:rsidRDefault="007E09F5" w:rsidP="007E09F5">
      <w:pPr>
        <w:spacing w:after="0"/>
        <w:rPr>
          <w:rFonts w:ascii="Times New Roman" w:hAnsi="Times New Roman" w:cs="Times New Roman"/>
          <w:sz w:val="24"/>
          <w:szCs w:val="24"/>
        </w:rPr>
      </w:pPr>
      <w:r w:rsidRPr="007E09F5">
        <w:rPr>
          <w:rFonts w:ascii="Times New Roman" w:hAnsi="Times New Roman" w:cs="Times New Roman"/>
          <w:sz w:val="24"/>
          <w:szCs w:val="24"/>
        </w:rPr>
        <w:t xml:space="preserve">Ул. Горького 142, </w:t>
      </w:r>
      <w:proofErr w:type="spellStart"/>
      <w:r w:rsidRPr="007E09F5">
        <w:rPr>
          <w:rFonts w:ascii="Times New Roman" w:hAnsi="Times New Roman" w:cs="Times New Roman"/>
          <w:sz w:val="24"/>
          <w:szCs w:val="24"/>
        </w:rPr>
        <w:t>каб</w:t>
      </w:r>
      <w:proofErr w:type="spellEnd"/>
      <w:r w:rsidRPr="007E09F5">
        <w:rPr>
          <w:rFonts w:ascii="Times New Roman" w:hAnsi="Times New Roman" w:cs="Times New Roman"/>
          <w:sz w:val="24"/>
          <w:szCs w:val="24"/>
        </w:rPr>
        <w:t>. 234,</w:t>
      </w:r>
    </w:p>
    <w:p w:rsidR="007E09F5" w:rsidRPr="007E09F5" w:rsidRDefault="007E09F5" w:rsidP="007E09F5">
      <w:pPr>
        <w:spacing w:after="0"/>
        <w:rPr>
          <w:rFonts w:ascii="Times New Roman" w:hAnsi="Times New Roman" w:cs="Times New Roman"/>
          <w:sz w:val="24"/>
          <w:szCs w:val="24"/>
        </w:rPr>
      </w:pPr>
      <w:r w:rsidRPr="007E09F5">
        <w:rPr>
          <w:rFonts w:ascii="Times New Roman" w:hAnsi="Times New Roman" w:cs="Times New Roman"/>
          <w:sz w:val="24"/>
          <w:szCs w:val="24"/>
        </w:rPr>
        <w:t>720055 Бишкек, Кыргызстан,</w:t>
      </w:r>
    </w:p>
    <w:p w:rsidR="007E09F5" w:rsidRPr="007E09F5" w:rsidRDefault="007E09F5" w:rsidP="007E09F5">
      <w:pPr>
        <w:spacing w:after="0"/>
        <w:rPr>
          <w:rFonts w:ascii="Times New Roman" w:hAnsi="Times New Roman" w:cs="Times New Roman"/>
          <w:sz w:val="24"/>
          <w:szCs w:val="24"/>
        </w:rPr>
      </w:pPr>
      <w:r w:rsidRPr="007E09F5">
        <w:rPr>
          <w:rFonts w:ascii="Times New Roman" w:hAnsi="Times New Roman" w:cs="Times New Roman"/>
          <w:sz w:val="24"/>
          <w:szCs w:val="24"/>
        </w:rPr>
        <w:t>Тел.: +(996 312) 548852,</w:t>
      </w:r>
    </w:p>
    <w:p w:rsidR="007E09F5" w:rsidRPr="007E09F5" w:rsidRDefault="007E09F5" w:rsidP="007E09F5">
      <w:pPr>
        <w:spacing w:after="0"/>
        <w:rPr>
          <w:rFonts w:ascii="Times New Roman" w:hAnsi="Times New Roman" w:cs="Times New Roman"/>
          <w:sz w:val="24"/>
          <w:szCs w:val="24"/>
        </w:rPr>
      </w:pPr>
      <w:r w:rsidRPr="007E09F5">
        <w:rPr>
          <w:rFonts w:ascii="Times New Roman" w:hAnsi="Times New Roman" w:cs="Times New Roman"/>
          <w:sz w:val="24"/>
          <w:szCs w:val="24"/>
        </w:rPr>
        <w:t>Факс: +(996 312) 548853,</w:t>
      </w:r>
    </w:p>
    <w:p w:rsidR="007E09F5" w:rsidRPr="007E09F5" w:rsidRDefault="007E09F5" w:rsidP="007E09F5">
      <w:pPr>
        <w:spacing w:after="0"/>
        <w:rPr>
          <w:rFonts w:ascii="Times New Roman" w:hAnsi="Times New Roman" w:cs="Times New Roman"/>
          <w:sz w:val="24"/>
          <w:szCs w:val="24"/>
        </w:rPr>
      </w:pPr>
      <w:r w:rsidRPr="007E09F5">
        <w:rPr>
          <w:rFonts w:ascii="Times New Roman" w:hAnsi="Times New Roman" w:cs="Times New Roman"/>
          <w:sz w:val="24"/>
          <w:szCs w:val="24"/>
        </w:rPr>
        <w:t>Моб.: +(996 772) 535292,</w:t>
      </w:r>
    </w:p>
    <w:p w:rsidR="007E09F5" w:rsidRDefault="007E09F5" w:rsidP="007E09F5">
      <w:pPr>
        <w:spacing w:after="0"/>
        <w:rPr>
          <w:rFonts w:ascii="Times New Roman" w:hAnsi="Times New Roman" w:cs="Times New Roman"/>
          <w:sz w:val="24"/>
          <w:szCs w:val="24"/>
        </w:rPr>
      </w:pPr>
      <w:r w:rsidRPr="007E09F5">
        <w:rPr>
          <w:rFonts w:ascii="Times New Roman" w:hAnsi="Times New Roman" w:cs="Times New Roman"/>
          <w:sz w:val="24"/>
          <w:szCs w:val="24"/>
        </w:rPr>
        <w:t>Электр</w:t>
      </w:r>
      <w:r>
        <w:rPr>
          <w:rFonts w:ascii="Times New Roman" w:hAnsi="Times New Roman" w:cs="Times New Roman"/>
          <w:sz w:val="24"/>
          <w:szCs w:val="24"/>
        </w:rPr>
        <w:t xml:space="preserve">онный адрес: </w:t>
      </w:r>
      <w:hyperlink r:id="rId8" w:history="1">
        <w:r w:rsidRPr="004A33C4">
          <w:rPr>
            <w:rStyle w:val="a6"/>
            <w:rFonts w:ascii="Times New Roman" w:hAnsi="Times New Roman" w:cs="Times New Roman"/>
            <w:sz w:val="24"/>
            <w:szCs w:val="24"/>
          </w:rPr>
          <w:t>ecoconv@ozonecenter.kg</w:t>
        </w:r>
      </w:hyperlink>
    </w:p>
    <w:p w:rsidR="003365EC" w:rsidRDefault="00271E80" w:rsidP="007E09F5">
      <w:pPr>
        <w:spacing w:after="0"/>
      </w:pPr>
      <w:hyperlink r:id="rId9" w:history="1">
        <w:r w:rsidR="007E09F5" w:rsidRPr="004A33C4">
          <w:rPr>
            <w:rStyle w:val="a6"/>
            <w:rFonts w:ascii="Times New Roman" w:hAnsi="Times New Roman" w:cs="Times New Roman"/>
            <w:sz w:val="24"/>
            <w:szCs w:val="24"/>
          </w:rPr>
          <w:t>amanaliev@ozonecenter.kg</w:t>
        </w:r>
      </w:hyperlink>
      <w:r w:rsidR="003365EC">
        <w:t xml:space="preserve"> </w:t>
      </w:r>
    </w:p>
    <w:p w:rsidR="007E09F5" w:rsidRDefault="007E09F5" w:rsidP="007E09F5">
      <w:pPr>
        <w:spacing w:after="0"/>
        <w:rPr>
          <w:rFonts w:ascii="Times New Roman" w:hAnsi="Times New Roman" w:cs="Times New Roman"/>
          <w:sz w:val="24"/>
          <w:szCs w:val="24"/>
        </w:rPr>
      </w:pPr>
      <w:r>
        <w:rPr>
          <w:rFonts w:ascii="Times New Roman" w:hAnsi="Times New Roman" w:cs="Times New Roman"/>
          <w:sz w:val="24"/>
          <w:szCs w:val="24"/>
        </w:rPr>
        <w:t xml:space="preserve">Вебсайт: </w:t>
      </w:r>
      <w:hyperlink r:id="rId10" w:history="1">
        <w:r w:rsidRPr="004A33C4">
          <w:rPr>
            <w:rStyle w:val="a6"/>
            <w:rFonts w:ascii="Times New Roman" w:hAnsi="Times New Roman" w:cs="Times New Roman"/>
            <w:sz w:val="24"/>
            <w:szCs w:val="24"/>
          </w:rPr>
          <w:t>http://www.ozonecenter.kg</w:t>
        </w:r>
      </w:hyperlink>
    </w:p>
    <w:p w:rsidR="007E09F5" w:rsidRDefault="007E09F5" w:rsidP="007E09F5">
      <w:pPr>
        <w:spacing w:after="0"/>
        <w:rPr>
          <w:rFonts w:ascii="Times New Roman" w:hAnsi="Times New Roman" w:cs="Times New Roman"/>
          <w:sz w:val="24"/>
          <w:szCs w:val="24"/>
        </w:rPr>
      </w:pPr>
    </w:p>
    <w:p w:rsidR="003365EC" w:rsidRDefault="003365EC" w:rsidP="007E09F5">
      <w:pPr>
        <w:rPr>
          <w:rFonts w:ascii="Times New Roman" w:hAnsi="Times New Roman" w:cs="Times New Roman"/>
          <w:b/>
          <w:sz w:val="24"/>
          <w:szCs w:val="24"/>
        </w:rPr>
      </w:pPr>
    </w:p>
    <w:p w:rsidR="003365EC" w:rsidRDefault="003365EC" w:rsidP="007E09F5">
      <w:pPr>
        <w:rPr>
          <w:rFonts w:ascii="Times New Roman" w:hAnsi="Times New Roman" w:cs="Times New Roman"/>
          <w:b/>
          <w:sz w:val="24"/>
          <w:szCs w:val="24"/>
        </w:rPr>
      </w:pPr>
    </w:p>
    <w:p w:rsidR="003365EC" w:rsidRDefault="003365EC" w:rsidP="007E09F5">
      <w:pPr>
        <w:rPr>
          <w:rFonts w:ascii="Times New Roman" w:hAnsi="Times New Roman" w:cs="Times New Roman"/>
          <w:b/>
          <w:sz w:val="24"/>
          <w:szCs w:val="24"/>
        </w:rPr>
      </w:pPr>
    </w:p>
    <w:p w:rsidR="003365EC" w:rsidRDefault="003365EC" w:rsidP="007E09F5">
      <w:pPr>
        <w:rPr>
          <w:rFonts w:ascii="Times New Roman" w:hAnsi="Times New Roman" w:cs="Times New Roman"/>
          <w:b/>
          <w:sz w:val="24"/>
          <w:szCs w:val="24"/>
        </w:rPr>
      </w:pPr>
    </w:p>
    <w:p w:rsidR="007E09F5" w:rsidRDefault="007E09F5" w:rsidP="007E09F5">
      <w:pPr>
        <w:rPr>
          <w:rFonts w:ascii="Times New Roman" w:hAnsi="Times New Roman" w:cs="Times New Roman"/>
          <w:b/>
          <w:sz w:val="24"/>
          <w:szCs w:val="24"/>
        </w:rPr>
      </w:pPr>
      <w:r w:rsidRPr="007E09F5">
        <w:rPr>
          <w:rFonts w:ascii="Times New Roman" w:hAnsi="Times New Roman" w:cs="Times New Roman"/>
          <w:b/>
          <w:sz w:val="24"/>
          <w:szCs w:val="24"/>
        </w:rPr>
        <w:lastRenderedPageBreak/>
        <w:t>Приложение: Региональная озоновая сеть для Европы и Центральной Азии</w:t>
      </w:r>
    </w:p>
    <w:p w:rsidR="007E09F5" w:rsidRPr="007E09F5" w:rsidRDefault="007E09F5" w:rsidP="007E09F5">
      <w:pPr>
        <w:rPr>
          <w:rFonts w:ascii="Times New Roman" w:hAnsi="Times New Roman" w:cs="Times New Roman"/>
          <w:sz w:val="24"/>
          <w:szCs w:val="24"/>
        </w:rPr>
      </w:pPr>
      <w:r w:rsidRPr="007E09F5">
        <w:rPr>
          <w:rFonts w:ascii="Times New Roman" w:hAnsi="Times New Roman" w:cs="Times New Roman"/>
          <w:sz w:val="24"/>
          <w:szCs w:val="24"/>
        </w:rPr>
        <w:t xml:space="preserve">В 2003 году при технической и финансовой поддержке Многостороннего фонда, Чешской Республики, Венгрии и Словацкой Республики была создана региональная озоновая сеть в Европе и Центральной Азии. Теперь она является частью программы по содействию соблюдения ОТПЭ ЮНЕП </w:t>
      </w:r>
      <w:proofErr w:type="spellStart"/>
      <w:r w:rsidRPr="007E09F5">
        <w:rPr>
          <w:rFonts w:ascii="Times New Roman" w:hAnsi="Times New Roman" w:cs="Times New Roman"/>
          <w:sz w:val="24"/>
          <w:szCs w:val="24"/>
        </w:rPr>
        <w:t>ОзонЭкшн</w:t>
      </w:r>
      <w:proofErr w:type="spellEnd"/>
      <w:r w:rsidRPr="007E09F5">
        <w:rPr>
          <w:rFonts w:ascii="Times New Roman" w:hAnsi="Times New Roman" w:cs="Times New Roman"/>
          <w:sz w:val="24"/>
          <w:szCs w:val="24"/>
        </w:rPr>
        <w:t xml:space="preserve"> и включает следующих 12 стран-членов: </w:t>
      </w:r>
      <w:proofErr w:type="gramStart"/>
      <w:r w:rsidRPr="007E09F5">
        <w:rPr>
          <w:rFonts w:ascii="Times New Roman" w:hAnsi="Times New Roman" w:cs="Times New Roman"/>
          <w:sz w:val="24"/>
          <w:szCs w:val="24"/>
        </w:rPr>
        <w:t>Албанию, Армению, Боснию и Герцеговину, Хорватию, Грузию, Кыргызстан, бывшую югославскую Республику Македонию, Молдову, Черногорию,</w:t>
      </w:r>
      <w:r>
        <w:rPr>
          <w:rFonts w:ascii="Times New Roman" w:hAnsi="Times New Roman" w:cs="Times New Roman"/>
          <w:sz w:val="24"/>
          <w:szCs w:val="24"/>
        </w:rPr>
        <w:t xml:space="preserve"> Сербию, Турцию и Туркменистан.</w:t>
      </w:r>
      <w:proofErr w:type="gramEnd"/>
    </w:p>
    <w:p w:rsidR="007E09F5" w:rsidRPr="007E09F5" w:rsidRDefault="007E09F5" w:rsidP="007E09F5">
      <w:pPr>
        <w:rPr>
          <w:rFonts w:ascii="Times New Roman" w:hAnsi="Times New Roman" w:cs="Times New Roman"/>
          <w:sz w:val="24"/>
          <w:szCs w:val="24"/>
        </w:rPr>
      </w:pPr>
      <w:r w:rsidRPr="007E09F5">
        <w:rPr>
          <w:rFonts w:ascii="Times New Roman" w:hAnsi="Times New Roman" w:cs="Times New Roman"/>
          <w:sz w:val="24"/>
          <w:szCs w:val="24"/>
        </w:rPr>
        <w:t xml:space="preserve">Кроме того, 7 так называемых «стран с переходной экономикой» приглашены участвовать в деятельности сети </w:t>
      </w:r>
      <w:r w:rsidR="00FA6411">
        <w:rPr>
          <w:rFonts w:ascii="Times New Roman" w:hAnsi="Times New Roman" w:cs="Times New Roman"/>
          <w:sz w:val="24"/>
          <w:szCs w:val="24"/>
        </w:rPr>
        <w:t>ВЕКЦА</w:t>
      </w:r>
      <w:r w:rsidRPr="007E09F5">
        <w:rPr>
          <w:rFonts w:ascii="Times New Roman" w:hAnsi="Times New Roman" w:cs="Times New Roman"/>
          <w:sz w:val="24"/>
          <w:szCs w:val="24"/>
        </w:rPr>
        <w:t xml:space="preserve"> в качестве самостоятельно финансируемых участников или финансируемых их соответствующими учреждениями-исполнителями: Азербайджан, Белоруссия, Казахстан, Российская Федерация, Таджикис</w:t>
      </w:r>
      <w:r>
        <w:rPr>
          <w:rFonts w:ascii="Times New Roman" w:hAnsi="Times New Roman" w:cs="Times New Roman"/>
          <w:sz w:val="24"/>
          <w:szCs w:val="24"/>
        </w:rPr>
        <w:t>тан, Украина и Узбекистан.</w:t>
      </w:r>
    </w:p>
    <w:p w:rsidR="007E09F5" w:rsidRPr="007E09F5" w:rsidRDefault="007E09F5" w:rsidP="007E09F5">
      <w:pPr>
        <w:rPr>
          <w:rFonts w:ascii="Times New Roman" w:hAnsi="Times New Roman" w:cs="Times New Roman"/>
          <w:sz w:val="24"/>
          <w:szCs w:val="24"/>
        </w:rPr>
      </w:pPr>
      <w:r w:rsidRPr="007E09F5">
        <w:rPr>
          <w:rFonts w:ascii="Times New Roman" w:hAnsi="Times New Roman" w:cs="Times New Roman"/>
          <w:sz w:val="24"/>
          <w:szCs w:val="24"/>
        </w:rPr>
        <w:t xml:space="preserve">Сеть </w:t>
      </w:r>
      <w:r w:rsidR="00FA6411" w:rsidRPr="00FA6411">
        <w:rPr>
          <w:rFonts w:ascii="Times New Roman" w:hAnsi="Times New Roman" w:cs="Times New Roman"/>
          <w:sz w:val="24"/>
          <w:szCs w:val="24"/>
        </w:rPr>
        <w:t>ВЕКЦА</w:t>
      </w:r>
      <w:r w:rsidRPr="007E09F5">
        <w:rPr>
          <w:rFonts w:ascii="Times New Roman" w:hAnsi="Times New Roman" w:cs="Times New Roman"/>
          <w:sz w:val="24"/>
          <w:szCs w:val="24"/>
        </w:rPr>
        <w:t xml:space="preserve"> является динамической группой стран, расположенных в трех </w:t>
      </w:r>
      <w:proofErr w:type="spellStart"/>
      <w:r w:rsidRPr="007E09F5">
        <w:rPr>
          <w:rFonts w:ascii="Times New Roman" w:hAnsi="Times New Roman" w:cs="Times New Roman"/>
          <w:sz w:val="24"/>
          <w:szCs w:val="24"/>
        </w:rPr>
        <w:t>субрегионах</w:t>
      </w:r>
      <w:proofErr w:type="spellEnd"/>
      <w:r w:rsidRPr="007E09F5">
        <w:rPr>
          <w:rFonts w:ascii="Times New Roman" w:hAnsi="Times New Roman" w:cs="Times New Roman"/>
          <w:sz w:val="24"/>
          <w:szCs w:val="24"/>
        </w:rPr>
        <w:t xml:space="preserve"> (Кавказе, Балканах, Центральной Азии). Несколько бывших стран сети </w:t>
      </w:r>
      <w:r w:rsidR="00FA6411" w:rsidRPr="00FA6411">
        <w:rPr>
          <w:rFonts w:ascii="Times New Roman" w:hAnsi="Times New Roman" w:cs="Times New Roman"/>
          <w:sz w:val="24"/>
          <w:szCs w:val="24"/>
        </w:rPr>
        <w:t>ВЕКЦА</w:t>
      </w:r>
      <w:bookmarkStart w:id="0" w:name="_GoBack"/>
      <w:bookmarkEnd w:id="0"/>
      <w:r w:rsidRPr="007E09F5">
        <w:rPr>
          <w:rFonts w:ascii="Times New Roman" w:hAnsi="Times New Roman" w:cs="Times New Roman"/>
          <w:sz w:val="24"/>
          <w:szCs w:val="24"/>
        </w:rPr>
        <w:t xml:space="preserve"> уже присоединились к Европейскому союзу и были </w:t>
      </w:r>
      <w:proofErr w:type="spellStart"/>
      <w:r w:rsidRPr="007E09F5">
        <w:rPr>
          <w:rFonts w:ascii="Times New Roman" w:hAnsi="Times New Roman" w:cs="Times New Roman"/>
          <w:sz w:val="24"/>
          <w:szCs w:val="24"/>
        </w:rPr>
        <w:t>реклассифицированы</w:t>
      </w:r>
      <w:proofErr w:type="spellEnd"/>
      <w:r w:rsidRPr="007E09F5">
        <w:rPr>
          <w:rFonts w:ascii="Times New Roman" w:hAnsi="Times New Roman" w:cs="Times New Roman"/>
          <w:sz w:val="24"/>
          <w:szCs w:val="24"/>
        </w:rPr>
        <w:t xml:space="preserve"> в качестве стран статьи 2 МП. Страны-кандидаты включают Хорватию, бывшую югославскую Республику Македонию и Турцию, и потенциальные страны-кандидаты - Албания, Босния и Ге</w:t>
      </w:r>
      <w:r>
        <w:rPr>
          <w:rFonts w:ascii="Times New Roman" w:hAnsi="Times New Roman" w:cs="Times New Roman"/>
          <w:sz w:val="24"/>
          <w:szCs w:val="24"/>
        </w:rPr>
        <w:t>рцеговина, Черногория и Сербия.</w:t>
      </w:r>
    </w:p>
    <w:p w:rsidR="007E09F5" w:rsidRPr="007E09F5" w:rsidRDefault="007E09F5" w:rsidP="007E09F5">
      <w:pPr>
        <w:rPr>
          <w:rFonts w:ascii="Times New Roman" w:hAnsi="Times New Roman" w:cs="Times New Roman"/>
          <w:sz w:val="24"/>
          <w:szCs w:val="24"/>
        </w:rPr>
      </w:pPr>
      <w:r w:rsidRPr="007E09F5">
        <w:rPr>
          <w:rFonts w:ascii="Times New Roman" w:hAnsi="Times New Roman" w:cs="Times New Roman"/>
          <w:sz w:val="24"/>
          <w:szCs w:val="24"/>
        </w:rPr>
        <w:t>Сеть поддерживается учреждениями-исполнителями (</w:t>
      </w:r>
      <w:proofErr w:type="gramStart"/>
      <w:r w:rsidRPr="007E09F5">
        <w:rPr>
          <w:rFonts w:ascii="Times New Roman" w:hAnsi="Times New Roman" w:cs="Times New Roman"/>
          <w:sz w:val="24"/>
          <w:szCs w:val="24"/>
        </w:rPr>
        <w:t>например</w:t>
      </w:r>
      <w:proofErr w:type="gramEnd"/>
      <w:r w:rsidRPr="007E09F5">
        <w:rPr>
          <w:rFonts w:ascii="Times New Roman" w:hAnsi="Times New Roman" w:cs="Times New Roman"/>
          <w:sz w:val="24"/>
          <w:szCs w:val="24"/>
        </w:rPr>
        <w:t xml:space="preserve"> ЮНЕП, ПРООН, ЮНИДО, Всемирный банк) и двусторонними партнерами (например, Европейский союз, Чешская Республика, Польша, Венгрия, Румыния...), а также Секретариатом Многостороннего фонда и Озоновым секретариатом. Дополнительные партнеры включают в себя международные организации (</w:t>
      </w:r>
      <w:proofErr w:type="gramStart"/>
      <w:r w:rsidRPr="007E09F5">
        <w:rPr>
          <w:rFonts w:ascii="Times New Roman" w:hAnsi="Times New Roman" w:cs="Times New Roman"/>
          <w:sz w:val="24"/>
          <w:szCs w:val="24"/>
        </w:rPr>
        <w:t>например</w:t>
      </w:r>
      <w:proofErr w:type="gramEnd"/>
      <w:r w:rsidRPr="007E09F5">
        <w:rPr>
          <w:rFonts w:ascii="Times New Roman" w:hAnsi="Times New Roman" w:cs="Times New Roman"/>
          <w:sz w:val="24"/>
          <w:szCs w:val="24"/>
        </w:rPr>
        <w:t xml:space="preserve"> МИХ, ЕАКВХО, АОНХИКВ, РЕХВА, Центральная Студия Галилео, ВТО, РИЛО, ОВОС, ЮНКТАД...), экспертов ГТОЭО и TOC, представителей частного сектора (например национальные ассоциации RAC, звезд холодильного сектора, Контроль Джонсона, </w:t>
      </w:r>
      <w:proofErr w:type="spellStart"/>
      <w:r w:rsidRPr="007E09F5">
        <w:rPr>
          <w:rFonts w:ascii="Times New Roman" w:hAnsi="Times New Roman" w:cs="Times New Roman"/>
          <w:sz w:val="24"/>
          <w:szCs w:val="24"/>
        </w:rPr>
        <w:t>Маекава</w:t>
      </w:r>
      <w:proofErr w:type="spellEnd"/>
      <w:r w:rsidRPr="007E09F5">
        <w:rPr>
          <w:rFonts w:ascii="Times New Roman" w:hAnsi="Times New Roman" w:cs="Times New Roman"/>
          <w:sz w:val="24"/>
          <w:szCs w:val="24"/>
        </w:rPr>
        <w:t>...). Сеть также способствует межрегиональному сотрудничеству с заинтересованными сторонами из Южной и Западной Азии.</w:t>
      </w:r>
    </w:p>
    <w:p w:rsidR="007E09F5" w:rsidRPr="007E09F5" w:rsidRDefault="007E09F5" w:rsidP="007E09F5">
      <w:pPr>
        <w:rPr>
          <w:rFonts w:ascii="Times New Roman" w:hAnsi="Times New Roman" w:cs="Times New Roman"/>
          <w:sz w:val="24"/>
          <w:szCs w:val="24"/>
        </w:rPr>
      </w:pPr>
      <w:r w:rsidRPr="007E09F5">
        <w:rPr>
          <w:rFonts w:ascii="Times New Roman" w:hAnsi="Times New Roman" w:cs="Times New Roman"/>
          <w:sz w:val="24"/>
          <w:szCs w:val="24"/>
        </w:rPr>
        <w:t xml:space="preserve">Создание региональных сетей обеспечивает регулярный интерактивный форум для сотрудников по озону из региона для обмена опытом, развития навыков и обмена знаниями и идеями с коллегами как из </w:t>
      </w:r>
      <w:proofErr w:type="gramStart"/>
      <w:r w:rsidRPr="007E09F5">
        <w:rPr>
          <w:rFonts w:ascii="Times New Roman" w:hAnsi="Times New Roman" w:cs="Times New Roman"/>
          <w:sz w:val="24"/>
          <w:szCs w:val="24"/>
        </w:rPr>
        <w:t>развивающихся</w:t>
      </w:r>
      <w:proofErr w:type="gramEnd"/>
      <w:r w:rsidRPr="007E09F5">
        <w:rPr>
          <w:rFonts w:ascii="Times New Roman" w:hAnsi="Times New Roman" w:cs="Times New Roman"/>
          <w:sz w:val="24"/>
          <w:szCs w:val="24"/>
        </w:rPr>
        <w:t xml:space="preserve"> так и из развитых стран для достижения соответствия, положений </w:t>
      </w:r>
      <w:proofErr w:type="spellStart"/>
      <w:r w:rsidRPr="007E09F5">
        <w:rPr>
          <w:rFonts w:ascii="Times New Roman" w:hAnsi="Times New Roman" w:cs="Times New Roman"/>
          <w:sz w:val="24"/>
          <w:szCs w:val="24"/>
        </w:rPr>
        <w:t>Монреальского</w:t>
      </w:r>
      <w:proofErr w:type="spellEnd"/>
      <w:r w:rsidRPr="007E09F5">
        <w:rPr>
          <w:rFonts w:ascii="Times New Roman" w:hAnsi="Times New Roman" w:cs="Times New Roman"/>
          <w:sz w:val="24"/>
          <w:szCs w:val="24"/>
        </w:rPr>
        <w:t xml:space="preserve"> протокола и поправок к нему. </w:t>
      </w:r>
      <w:proofErr w:type="gramStart"/>
      <w:r w:rsidRPr="007E09F5">
        <w:rPr>
          <w:rFonts w:ascii="Times New Roman" w:hAnsi="Times New Roman" w:cs="Times New Roman"/>
          <w:sz w:val="24"/>
          <w:szCs w:val="24"/>
        </w:rPr>
        <w:t>Через регулярные тематических встречи и текущие диалоги, сеть помогает обеспечить сотрудников по озону информацией, навыками и контактами, необходимыми для успешного управления национальной деятельностью по поэтапному сокращению ОРВ.</w:t>
      </w:r>
      <w:proofErr w:type="gramEnd"/>
      <w:r w:rsidRPr="007E09F5">
        <w:rPr>
          <w:rFonts w:ascii="Times New Roman" w:hAnsi="Times New Roman" w:cs="Times New Roman"/>
          <w:sz w:val="24"/>
          <w:szCs w:val="24"/>
        </w:rPr>
        <w:t xml:space="preserve"> Конкретная помощь по соблюдению предоставляется </w:t>
      </w:r>
      <w:r>
        <w:rPr>
          <w:rFonts w:ascii="Times New Roman" w:hAnsi="Times New Roman" w:cs="Times New Roman"/>
          <w:sz w:val="24"/>
          <w:szCs w:val="24"/>
        </w:rPr>
        <w:t>странам по вопросам соблюдения.</w:t>
      </w:r>
    </w:p>
    <w:p w:rsidR="007E09F5" w:rsidRPr="007E09F5" w:rsidRDefault="007E09F5" w:rsidP="007E09F5">
      <w:pPr>
        <w:rPr>
          <w:rFonts w:ascii="Times New Roman" w:hAnsi="Times New Roman" w:cs="Times New Roman"/>
          <w:sz w:val="24"/>
          <w:szCs w:val="24"/>
        </w:rPr>
      </w:pPr>
      <w:r w:rsidRPr="007E09F5">
        <w:rPr>
          <w:rFonts w:ascii="Times New Roman" w:hAnsi="Times New Roman" w:cs="Times New Roman"/>
          <w:sz w:val="24"/>
          <w:szCs w:val="24"/>
        </w:rPr>
        <w:t xml:space="preserve">Торговые партнеры, включая Европейский союз, Китай и Россию, участвуют в правоприменительной деятельности сети </w:t>
      </w:r>
      <w:r w:rsidR="00FA6411">
        <w:rPr>
          <w:rFonts w:ascii="Times New Roman" w:hAnsi="Times New Roman" w:cs="Times New Roman"/>
          <w:sz w:val="24"/>
          <w:szCs w:val="24"/>
        </w:rPr>
        <w:t>ВЕКЦА</w:t>
      </w:r>
      <w:r w:rsidRPr="007E09F5">
        <w:rPr>
          <w:rFonts w:ascii="Times New Roman" w:hAnsi="Times New Roman" w:cs="Times New Roman"/>
          <w:sz w:val="24"/>
          <w:szCs w:val="24"/>
        </w:rPr>
        <w:t xml:space="preserve">. В 2012 году, сотрудники таможни и правоохранительных органов из Китая,  Европейского союза, Финляндии, Кыргызстана, БЮР Македонии, России, Сербии и Узбекистана получили премию по защите озонового слоя </w:t>
      </w:r>
      <w:r w:rsidR="00FA6411">
        <w:rPr>
          <w:rFonts w:ascii="Times New Roman" w:hAnsi="Times New Roman" w:cs="Times New Roman"/>
          <w:sz w:val="24"/>
          <w:szCs w:val="24"/>
        </w:rPr>
        <w:t>ВЕКЦА</w:t>
      </w:r>
      <w:r w:rsidRPr="007E09F5">
        <w:rPr>
          <w:rFonts w:ascii="Times New Roman" w:hAnsi="Times New Roman" w:cs="Times New Roman"/>
          <w:sz w:val="24"/>
          <w:szCs w:val="24"/>
        </w:rPr>
        <w:t xml:space="preserve"> за их усилия и приверженность делу по предотвращению незаконной/нежелательной торговли </w:t>
      </w:r>
      <w:proofErr w:type="spellStart"/>
      <w:r w:rsidRPr="007E09F5">
        <w:rPr>
          <w:rFonts w:ascii="Times New Roman" w:hAnsi="Times New Roman" w:cs="Times New Roman"/>
          <w:sz w:val="24"/>
          <w:szCs w:val="24"/>
        </w:rPr>
        <w:t>озоноразрушающими</w:t>
      </w:r>
      <w:proofErr w:type="spellEnd"/>
      <w:r w:rsidRPr="007E09F5">
        <w:rPr>
          <w:rFonts w:ascii="Times New Roman" w:hAnsi="Times New Roman" w:cs="Times New Roman"/>
          <w:sz w:val="24"/>
          <w:szCs w:val="24"/>
        </w:rPr>
        <w:t xml:space="preserve"> веществами (ОРВ). В июле 2010 года и августе 2012 года, лауреаты премии сообщили о 17 успешных изъятиях 72 </w:t>
      </w:r>
      <w:r w:rsidRPr="007E09F5">
        <w:rPr>
          <w:rFonts w:ascii="Times New Roman" w:hAnsi="Times New Roman" w:cs="Times New Roman"/>
          <w:sz w:val="24"/>
          <w:szCs w:val="24"/>
        </w:rPr>
        <w:lastRenderedPageBreak/>
        <w:t xml:space="preserve">единиц оборудования и 3016 холодильных цилиндров/контейнеров, содержащих более 61 метрических тонн </w:t>
      </w:r>
      <w:proofErr w:type="spellStart"/>
      <w:r w:rsidRPr="007E09F5">
        <w:rPr>
          <w:rFonts w:ascii="Times New Roman" w:hAnsi="Times New Roman" w:cs="Times New Roman"/>
          <w:sz w:val="24"/>
          <w:szCs w:val="24"/>
        </w:rPr>
        <w:t>озоноразрушающих</w:t>
      </w:r>
      <w:proofErr w:type="spellEnd"/>
      <w:r w:rsidRPr="007E09F5">
        <w:rPr>
          <w:rFonts w:ascii="Times New Roman" w:hAnsi="Times New Roman" w:cs="Times New Roman"/>
          <w:sz w:val="24"/>
          <w:szCs w:val="24"/>
        </w:rPr>
        <w:t xml:space="preserve"> химических веществ и смесей. Неофициальные консультации предварительного обоснованного согласия (</w:t>
      </w:r>
      <w:proofErr w:type="gramStart"/>
      <w:r w:rsidRPr="007E09F5">
        <w:rPr>
          <w:rFonts w:ascii="Times New Roman" w:hAnsi="Times New Roman" w:cs="Times New Roman"/>
          <w:sz w:val="24"/>
          <w:szCs w:val="24"/>
        </w:rPr>
        <w:t>ПОС</w:t>
      </w:r>
      <w:proofErr w:type="gramEnd"/>
      <w:r w:rsidRPr="007E09F5">
        <w:rPr>
          <w:rFonts w:ascii="Times New Roman" w:hAnsi="Times New Roman" w:cs="Times New Roman"/>
          <w:sz w:val="24"/>
          <w:szCs w:val="24"/>
        </w:rPr>
        <w:t xml:space="preserve">) до выдачи торговых лицензий позволили </w:t>
      </w:r>
      <w:proofErr w:type="spellStart"/>
      <w:r w:rsidRPr="007E09F5">
        <w:rPr>
          <w:rFonts w:ascii="Times New Roman" w:hAnsi="Times New Roman" w:cs="Times New Roman"/>
          <w:sz w:val="24"/>
          <w:szCs w:val="24"/>
        </w:rPr>
        <w:t>избегжать</w:t>
      </w:r>
      <w:proofErr w:type="spellEnd"/>
      <w:r w:rsidRPr="007E09F5">
        <w:rPr>
          <w:rFonts w:ascii="Times New Roman" w:hAnsi="Times New Roman" w:cs="Times New Roman"/>
          <w:sz w:val="24"/>
          <w:szCs w:val="24"/>
        </w:rPr>
        <w:t xml:space="preserve"> 16 </w:t>
      </w:r>
      <w:proofErr w:type="spellStart"/>
      <w:r w:rsidRPr="007E09F5">
        <w:rPr>
          <w:rFonts w:ascii="Times New Roman" w:hAnsi="Times New Roman" w:cs="Times New Roman"/>
          <w:sz w:val="24"/>
          <w:szCs w:val="24"/>
        </w:rPr>
        <w:t>нежелательных\незаконных</w:t>
      </w:r>
      <w:proofErr w:type="spellEnd"/>
      <w:r w:rsidRPr="007E09F5">
        <w:rPr>
          <w:rFonts w:ascii="Times New Roman" w:hAnsi="Times New Roman" w:cs="Times New Roman"/>
          <w:sz w:val="24"/>
          <w:szCs w:val="24"/>
        </w:rPr>
        <w:t xml:space="preserve"> поставок более чем 342 метрических тонн </w:t>
      </w:r>
      <w:proofErr w:type="spellStart"/>
      <w:r w:rsidRPr="007E09F5">
        <w:rPr>
          <w:rFonts w:ascii="Times New Roman" w:hAnsi="Times New Roman" w:cs="Times New Roman"/>
          <w:sz w:val="24"/>
          <w:szCs w:val="24"/>
        </w:rPr>
        <w:t>озоноразрушающих</w:t>
      </w:r>
      <w:proofErr w:type="spellEnd"/>
      <w:r w:rsidRPr="007E09F5">
        <w:rPr>
          <w:rFonts w:ascii="Times New Roman" w:hAnsi="Times New Roman" w:cs="Times New Roman"/>
          <w:sz w:val="24"/>
          <w:szCs w:val="24"/>
        </w:rPr>
        <w:t xml:space="preserve"> химических веществ и смесей. Консультации </w:t>
      </w:r>
      <w:proofErr w:type="gramStart"/>
      <w:r w:rsidRPr="007E09F5">
        <w:rPr>
          <w:rFonts w:ascii="Times New Roman" w:hAnsi="Times New Roman" w:cs="Times New Roman"/>
          <w:sz w:val="24"/>
          <w:szCs w:val="24"/>
        </w:rPr>
        <w:t>ПОС</w:t>
      </w:r>
      <w:proofErr w:type="gramEnd"/>
      <w:r w:rsidRPr="007E09F5">
        <w:rPr>
          <w:rFonts w:ascii="Times New Roman" w:hAnsi="Times New Roman" w:cs="Times New Roman"/>
          <w:sz w:val="24"/>
          <w:szCs w:val="24"/>
        </w:rPr>
        <w:t xml:space="preserve"> и анализ расхождений данных также выявили незаконную торговлю 103,5 MT, имевшую место в прошлом. Более подробные оп</w:t>
      </w:r>
      <w:r>
        <w:rPr>
          <w:rFonts w:ascii="Times New Roman" w:hAnsi="Times New Roman" w:cs="Times New Roman"/>
          <w:sz w:val="24"/>
          <w:szCs w:val="24"/>
        </w:rPr>
        <w:t>исания доступны на веб-сайте:</w:t>
      </w:r>
    </w:p>
    <w:p w:rsidR="007E09F5" w:rsidRPr="007E09F5" w:rsidRDefault="00271E80" w:rsidP="007E09F5">
      <w:pPr>
        <w:rPr>
          <w:rFonts w:ascii="Times New Roman" w:hAnsi="Times New Roman" w:cs="Times New Roman"/>
          <w:sz w:val="24"/>
          <w:szCs w:val="24"/>
        </w:rPr>
      </w:pPr>
      <w:hyperlink r:id="rId11" w:history="1">
        <w:r w:rsidR="007E09F5" w:rsidRPr="004A33C4">
          <w:rPr>
            <w:rStyle w:val="a6"/>
            <w:rFonts w:ascii="Times New Roman" w:hAnsi="Times New Roman" w:cs="Times New Roman"/>
            <w:sz w:val="24"/>
            <w:szCs w:val="24"/>
          </w:rPr>
          <w:t>www.unep.org/ozonaction/ecanetwork/ECAcustomsmeetingIstanbulTurkey/tabid/79292/Default.aspx</w:t>
        </w:r>
      </w:hyperlink>
    </w:p>
    <w:p w:rsidR="007E09F5" w:rsidRPr="007E09F5" w:rsidRDefault="007E09F5" w:rsidP="007E09F5">
      <w:pPr>
        <w:rPr>
          <w:rFonts w:ascii="Times New Roman" w:hAnsi="Times New Roman" w:cs="Times New Roman"/>
          <w:sz w:val="24"/>
          <w:szCs w:val="24"/>
        </w:rPr>
      </w:pPr>
      <w:r w:rsidRPr="007E09F5">
        <w:rPr>
          <w:rFonts w:ascii="Times New Roman" w:hAnsi="Times New Roman" w:cs="Times New Roman"/>
          <w:sz w:val="24"/>
          <w:szCs w:val="24"/>
        </w:rPr>
        <w:t xml:space="preserve">С 2009 года сеть </w:t>
      </w:r>
      <w:r w:rsidR="00FA6411">
        <w:rPr>
          <w:rFonts w:ascii="Times New Roman" w:hAnsi="Times New Roman" w:cs="Times New Roman"/>
          <w:sz w:val="24"/>
          <w:szCs w:val="24"/>
        </w:rPr>
        <w:t>ВЕКЦА</w:t>
      </w:r>
      <w:r w:rsidRPr="007E09F5">
        <w:rPr>
          <w:rFonts w:ascii="Times New Roman" w:hAnsi="Times New Roman" w:cs="Times New Roman"/>
          <w:sz w:val="24"/>
          <w:szCs w:val="24"/>
        </w:rPr>
        <w:t xml:space="preserve"> также приглашает национальные ассоциации по холодильному оборудованию и кондиционированию воздуха (RAC) на встречи сети, с целью обмена опытом и информирования их об имеющихся альтернативах. Эти ассоциации являются важными движущими силами в поэтапном сокращении ГХФУ в ближайшие десятилетия. Там, где такие ассоциации не существуют, сеть </w:t>
      </w:r>
      <w:r w:rsidR="00FA6411">
        <w:rPr>
          <w:rFonts w:ascii="Times New Roman" w:hAnsi="Times New Roman" w:cs="Times New Roman"/>
          <w:sz w:val="24"/>
          <w:szCs w:val="24"/>
        </w:rPr>
        <w:t>ВЕКЦА</w:t>
      </w:r>
      <w:r w:rsidRPr="007E09F5">
        <w:rPr>
          <w:rFonts w:ascii="Times New Roman" w:hAnsi="Times New Roman" w:cs="Times New Roman"/>
          <w:sz w:val="24"/>
          <w:szCs w:val="24"/>
        </w:rPr>
        <w:t xml:space="preserve"> оказывает финансовую помощь для их создания. Конкретные инициативы сети </w:t>
      </w:r>
      <w:r w:rsidR="00FA6411">
        <w:rPr>
          <w:rFonts w:ascii="Times New Roman" w:hAnsi="Times New Roman" w:cs="Times New Roman"/>
          <w:sz w:val="24"/>
          <w:szCs w:val="24"/>
        </w:rPr>
        <w:t>ВЕКЦА</w:t>
      </w:r>
      <w:r w:rsidRPr="007E09F5">
        <w:rPr>
          <w:rFonts w:ascii="Times New Roman" w:hAnsi="Times New Roman" w:cs="Times New Roman"/>
          <w:sz w:val="24"/>
          <w:szCs w:val="24"/>
        </w:rPr>
        <w:t xml:space="preserve"> включают приглашение представителей промышленной отрасли на сетевые встречи для обмена тематическими исследованиями по использованию природных хладагентов в развивающихся странах. Двуязычный (Английский/ Русский) сайт </w:t>
      </w:r>
      <w:proofErr w:type="spellStart"/>
      <w:r w:rsidRPr="007E09F5">
        <w:rPr>
          <w:rFonts w:ascii="Times New Roman" w:hAnsi="Times New Roman" w:cs="Times New Roman"/>
          <w:sz w:val="24"/>
          <w:szCs w:val="24"/>
        </w:rPr>
        <w:t>ECAcool</w:t>
      </w:r>
      <w:proofErr w:type="spellEnd"/>
      <w:r w:rsidRPr="007E09F5">
        <w:rPr>
          <w:rFonts w:ascii="Times New Roman" w:hAnsi="Times New Roman" w:cs="Times New Roman"/>
          <w:sz w:val="24"/>
          <w:szCs w:val="24"/>
        </w:rPr>
        <w:t xml:space="preserve"> обеспечивает платформу для обмена информацией и взаимодействи</w:t>
      </w:r>
      <w:r>
        <w:rPr>
          <w:rFonts w:ascii="Times New Roman" w:hAnsi="Times New Roman" w:cs="Times New Roman"/>
          <w:sz w:val="24"/>
          <w:szCs w:val="24"/>
        </w:rPr>
        <w:t>я между экспертами RAC региона:</w:t>
      </w:r>
      <w:hyperlink r:id="rId12" w:history="1">
        <w:r w:rsidRPr="004A33C4">
          <w:rPr>
            <w:rStyle w:val="a6"/>
            <w:rFonts w:ascii="Times New Roman" w:hAnsi="Times New Roman" w:cs="Times New Roman"/>
            <w:sz w:val="24"/>
            <w:szCs w:val="24"/>
          </w:rPr>
          <w:t>www.ecacool.com</w:t>
        </w:r>
      </w:hyperlink>
    </w:p>
    <w:p w:rsidR="007E09F5" w:rsidRPr="007E09F5" w:rsidRDefault="007E09F5" w:rsidP="007E09F5">
      <w:pPr>
        <w:rPr>
          <w:rFonts w:ascii="Times New Roman" w:hAnsi="Times New Roman" w:cs="Times New Roman"/>
          <w:sz w:val="24"/>
          <w:szCs w:val="24"/>
        </w:rPr>
      </w:pPr>
      <w:r w:rsidRPr="007E09F5">
        <w:rPr>
          <w:rFonts w:ascii="Times New Roman" w:hAnsi="Times New Roman" w:cs="Times New Roman"/>
          <w:sz w:val="24"/>
          <w:szCs w:val="24"/>
        </w:rPr>
        <w:t xml:space="preserve">Поскольку большинство </w:t>
      </w:r>
      <w:proofErr w:type="spellStart"/>
      <w:r w:rsidRPr="007E09F5">
        <w:rPr>
          <w:rFonts w:ascii="Times New Roman" w:hAnsi="Times New Roman" w:cs="Times New Roman"/>
          <w:sz w:val="24"/>
          <w:szCs w:val="24"/>
        </w:rPr>
        <w:t>озоноразрушающих</w:t>
      </w:r>
      <w:proofErr w:type="spellEnd"/>
      <w:r w:rsidRPr="007E09F5">
        <w:rPr>
          <w:rFonts w:ascii="Times New Roman" w:hAnsi="Times New Roman" w:cs="Times New Roman"/>
          <w:sz w:val="24"/>
          <w:szCs w:val="24"/>
        </w:rPr>
        <w:t xml:space="preserve"> веществ также являются мощными парниковыми газами, их замена </w:t>
      </w:r>
      <w:proofErr w:type="spellStart"/>
      <w:r w:rsidRPr="007E09F5">
        <w:rPr>
          <w:rFonts w:ascii="Times New Roman" w:hAnsi="Times New Roman" w:cs="Times New Roman"/>
          <w:sz w:val="24"/>
          <w:szCs w:val="24"/>
        </w:rPr>
        <w:t>озон</w:t>
      </w:r>
      <w:proofErr w:type="gramStart"/>
      <w:r w:rsidRPr="007E09F5">
        <w:rPr>
          <w:rFonts w:ascii="Times New Roman" w:hAnsi="Times New Roman" w:cs="Times New Roman"/>
          <w:sz w:val="24"/>
          <w:szCs w:val="24"/>
        </w:rPr>
        <w:t>о</w:t>
      </w:r>
      <w:proofErr w:type="spellEnd"/>
      <w:r w:rsidRPr="007E09F5">
        <w:rPr>
          <w:rFonts w:ascii="Times New Roman" w:hAnsi="Times New Roman" w:cs="Times New Roman"/>
          <w:sz w:val="24"/>
          <w:szCs w:val="24"/>
        </w:rPr>
        <w:t>-</w:t>
      </w:r>
      <w:proofErr w:type="gramEnd"/>
      <w:r w:rsidRPr="007E09F5">
        <w:rPr>
          <w:rFonts w:ascii="Times New Roman" w:hAnsi="Times New Roman" w:cs="Times New Roman"/>
          <w:sz w:val="24"/>
          <w:szCs w:val="24"/>
        </w:rPr>
        <w:t xml:space="preserve"> и </w:t>
      </w:r>
      <w:proofErr w:type="spellStart"/>
      <w:r w:rsidRPr="007E09F5">
        <w:rPr>
          <w:rFonts w:ascii="Times New Roman" w:hAnsi="Times New Roman" w:cs="Times New Roman"/>
          <w:sz w:val="24"/>
          <w:szCs w:val="24"/>
        </w:rPr>
        <w:t>климато</w:t>
      </w:r>
      <w:proofErr w:type="spellEnd"/>
      <w:r w:rsidRPr="007E09F5">
        <w:rPr>
          <w:rFonts w:ascii="Times New Roman" w:hAnsi="Times New Roman" w:cs="Times New Roman"/>
          <w:sz w:val="24"/>
          <w:szCs w:val="24"/>
        </w:rPr>
        <w:t xml:space="preserve">- дружественными (благоприятными) альтернативами и поощрение </w:t>
      </w:r>
      <w:proofErr w:type="spellStart"/>
      <w:r w:rsidRPr="007E09F5">
        <w:rPr>
          <w:rFonts w:ascii="Times New Roman" w:hAnsi="Times New Roman" w:cs="Times New Roman"/>
          <w:sz w:val="24"/>
          <w:szCs w:val="24"/>
        </w:rPr>
        <w:t>энергоэффективных</w:t>
      </w:r>
      <w:proofErr w:type="spellEnd"/>
      <w:r w:rsidRPr="007E09F5">
        <w:rPr>
          <w:rFonts w:ascii="Times New Roman" w:hAnsi="Times New Roman" w:cs="Times New Roman"/>
          <w:sz w:val="24"/>
          <w:szCs w:val="24"/>
        </w:rPr>
        <w:t xml:space="preserve"> технологий непосредственно способствует защите климата. В этом контексте приоритет сети </w:t>
      </w:r>
      <w:r w:rsidR="00FA6411">
        <w:rPr>
          <w:rFonts w:ascii="Times New Roman" w:hAnsi="Times New Roman" w:cs="Times New Roman"/>
          <w:sz w:val="24"/>
          <w:szCs w:val="24"/>
        </w:rPr>
        <w:t>ВЕКЦА</w:t>
      </w:r>
      <w:r w:rsidRPr="007E09F5">
        <w:rPr>
          <w:rFonts w:ascii="Times New Roman" w:hAnsi="Times New Roman" w:cs="Times New Roman"/>
          <w:sz w:val="24"/>
          <w:szCs w:val="24"/>
        </w:rPr>
        <w:t xml:space="preserve"> заключается в раннем введении мер политики, промышленности и маркировки стандартов, а также подготовки и сертификационных схем для холодильных техников и сервисных компаний. Последние включают в себя поощрение подходов электронного обучения в странах сети.</w:t>
      </w:r>
    </w:p>
    <w:p w:rsidR="007E09F5" w:rsidRPr="007E09F5" w:rsidRDefault="007E09F5" w:rsidP="007E09F5">
      <w:pPr>
        <w:rPr>
          <w:rFonts w:ascii="Times New Roman" w:hAnsi="Times New Roman" w:cs="Times New Roman"/>
          <w:sz w:val="24"/>
          <w:szCs w:val="24"/>
        </w:rPr>
      </w:pPr>
    </w:p>
    <w:p w:rsidR="007E09F5" w:rsidRPr="007E09F5" w:rsidRDefault="007E09F5" w:rsidP="007E09F5">
      <w:pPr>
        <w:rPr>
          <w:rFonts w:ascii="Times New Roman" w:hAnsi="Times New Roman" w:cs="Times New Roman"/>
          <w:sz w:val="24"/>
          <w:szCs w:val="24"/>
        </w:rPr>
      </w:pPr>
      <w:r w:rsidRPr="007E09F5">
        <w:rPr>
          <w:rFonts w:ascii="Times New Roman" w:hAnsi="Times New Roman" w:cs="Times New Roman"/>
          <w:sz w:val="24"/>
          <w:szCs w:val="24"/>
        </w:rPr>
        <w:t xml:space="preserve">С 2012 года сеть </w:t>
      </w:r>
      <w:r w:rsidR="00FA6411">
        <w:rPr>
          <w:rFonts w:ascii="Times New Roman" w:hAnsi="Times New Roman" w:cs="Times New Roman"/>
          <w:sz w:val="24"/>
          <w:szCs w:val="24"/>
        </w:rPr>
        <w:t>ВЕКЦА</w:t>
      </w:r>
      <w:r w:rsidRPr="007E09F5">
        <w:rPr>
          <w:rFonts w:ascii="Times New Roman" w:hAnsi="Times New Roman" w:cs="Times New Roman"/>
          <w:sz w:val="24"/>
          <w:szCs w:val="24"/>
        </w:rPr>
        <w:t xml:space="preserve"> также способствует сотрудничеству градостроителей/архитекторов со строительными инженерами для связи реализации HPMP концепции устойчивых зданий и для поощрения разработки комплексных решений для</w:t>
      </w:r>
      <w:r>
        <w:rPr>
          <w:rFonts w:ascii="Times New Roman" w:hAnsi="Times New Roman" w:cs="Times New Roman"/>
          <w:sz w:val="24"/>
          <w:szCs w:val="24"/>
        </w:rPr>
        <w:t xml:space="preserve"> отопления и охлаждения зданий.</w:t>
      </w:r>
    </w:p>
    <w:p w:rsidR="007E09F5" w:rsidRPr="007E09F5" w:rsidRDefault="007E09F5" w:rsidP="007E09F5">
      <w:pPr>
        <w:rPr>
          <w:rFonts w:ascii="Times New Roman" w:hAnsi="Times New Roman" w:cs="Times New Roman"/>
          <w:sz w:val="24"/>
          <w:szCs w:val="24"/>
        </w:rPr>
      </w:pPr>
      <w:r w:rsidRPr="007E09F5">
        <w:rPr>
          <w:rFonts w:ascii="Times New Roman" w:hAnsi="Times New Roman" w:cs="Times New Roman"/>
          <w:sz w:val="24"/>
          <w:szCs w:val="24"/>
        </w:rPr>
        <w:t>В более широком контексте инициативы зеленой экономики ЮНЕП, "</w:t>
      </w:r>
      <w:proofErr w:type="spellStart"/>
      <w:r w:rsidRPr="007E09F5">
        <w:rPr>
          <w:rFonts w:ascii="Times New Roman" w:hAnsi="Times New Roman" w:cs="Times New Roman"/>
          <w:sz w:val="24"/>
          <w:szCs w:val="24"/>
        </w:rPr>
        <w:t>Озонэкшн</w:t>
      </w:r>
      <w:proofErr w:type="spellEnd"/>
      <w:r w:rsidRPr="007E09F5">
        <w:rPr>
          <w:rFonts w:ascii="Times New Roman" w:hAnsi="Times New Roman" w:cs="Times New Roman"/>
          <w:sz w:val="24"/>
          <w:szCs w:val="24"/>
        </w:rPr>
        <w:t xml:space="preserve">" и сектор экономики и торговли подготовили доклад по ряду экономических, социальных, экологических и институциональных сопутствующих выгод двадцати пяти лет </w:t>
      </w:r>
      <w:proofErr w:type="spellStart"/>
      <w:r w:rsidRPr="007E09F5">
        <w:rPr>
          <w:rFonts w:ascii="Times New Roman" w:hAnsi="Times New Roman" w:cs="Times New Roman"/>
          <w:sz w:val="24"/>
          <w:szCs w:val="24"/>
        </w:rPr>
        <w:t>выполеннияМонреальского</w:t>
      </w:r>
      <w:proofErr w:type="spellEnd"/>
      <w:r w:rsidRPr="007E09F5">
        <w:rPr>
          <w:rFonts w:ascii="Times New Roman" w:hAnsi="Times New Roman" w:cs="Times New Roman"/>
          <w:sz w:val="24"/>
          <w:szCs w:val="24"/>
        </w:rPr>
        <w:t xml:space="preserve"> протокола. Сеть </w:t>
      </w:r>
      <w:r w:rsidR="00FA6411">
        <w:rPr>
          <w:rFonts w:ascii="Times New Roman" w:hAnsi="Times New Roman" w:cs="Times New Roman"/>
          <w:sz w:val="24"/>
          <w:szCs w:val="24"/>
        </w:rPr>
        <w:t>ВЕКЦА</w:t>
      </w:r>
      <w:r w:rsidRPr="007E09F5">
        <w:rPr>
          <w:rFonts w:ascii="Times New Roman" w:hAnsi="Times New Roman" w:cs="Times New Roman"/>
          <w:sz w:val="24"/>
          <w:szCs w:val="24"/>
        </w:rPr>
        <w:t xml:space="preserve"> представила основные выводы исследования участникам Конференции министров охраны окружающей среды для Европы в 2011 году и подготовила викторины Зеленой экономики </w:t>
      </w:r>
      <w:proofErr w:type="spellStart"/>
      <w:r w:rsidRPr="007E09F5">
        <w:rPr>
          <w:rFonts w:ascii="Times New Roman" w:hAnsi="Times New Roman" w:cs="Times New Roman"/>
          <w:sz w:val="24"/>
          <w:szCs w:val="24"/>
        </w:rPr>
        <w:t>Монреальского</w:t>
      </w:r>
      <w:proofErr w:type="spellEnd"/>
      <w:r w:rsidRPr="007E09F5">
        <w:rPr>
          <w:rFonts w:ascii="Times New Roman" w:hAnsi="Times New Roman" w:cs="Times New Roman"/>
          <w:sz w:val="24"/>
          <w:szCs w:val="24"/>
        </w:rPr>
        <w:t xml:space="preserve"> протокола на английском языке: </w:t>
      </w:r>
      <w:hyperlink r:id="rId13" w:history="1">
        <w:r w:rsidRPr="004A33C4">
          <w:rPr>
            <w:rStyle w:val="a6"/>
            <w:rFonts w:ascii="Times New Roman" w:hAnsi="Times New Roman" w:cs="Times New Roman"/>
            <w:sz w:val="24"/>
            <w:szCs w:val="24"/>
          </w:rPr>
          <w:t>www.unep.fr/quiz/astana/</w:t>
        </w:r>
      </w:hyperlink>
      <w:r w:rsidRPr="007E09F5">
        <w:rPr>
          <w:rFonts w:ascii="Times New Roman" w:hAnsi="Times New Roman" w:cs="Times New Roman"/>
          <w:sz w:val="24"/>
          <w:szCs w:val="24"/>
        </w:rPr>
        <w:t xml:space="preserve">и на русском:  </w:t>
      </w:r>
      <w:hyperlink r:id="rId14" w:history="1">
        <w:r w:rsidRPr="004A33C4">
          <w:rPr>
            <w:rStyle w:val="a6"/>
            <w:rFonts w:ascii="Times New Roman" w:hAnsi="Times New Roman" w:cs="Times New Roman"/>
            <w:sz w:val="24"/>
            <w:szCs w:val="24"/>
          </w:rPr>
          <w:t>www.unep.fr/quiz/astanarussian/</w:t>
        </w:r>
      </w:hyperlink>
    </w:p>
    <w:p w:rsidR="007E09F5" w:rsidRPr="007E09F5" w:rsidRDefault="007E09F5" w:rsidP="007E09F5">
      <w:pPr>
        <w:rPr>
          <w:rFonts w:ascii="Times New Roman" w:hAnsi="Times New Roman" w:cs="Times New Roman"/>
          <w:sz w:val="24"/>
          <w:szCs w:val="24"/>
        </w:rPr>
      </w:pPr>
      <w:r w:rsidRPr="007E09F5">
        <w:rPr>
          <w:rFonts w:ascii="Times New Roman" w:hAnsi="Times New Roman" w:cs="Times New Roman"/>
          <w:sz w:val="24"/>
          <w:szCs w:val="24"/>
        </w:rPr>
        <w:t xml:space="preserve">При организации сети и тематических встреч, в максимально возможной степени применяются положения руководства зеленых совещаний ЮНЕП и стратегии </w:t>
      </w:r>
      <w:r w:rsidRPr="007E09F5">
        <w:rPr>
          <w:rFonts w:ascii="Times New Roman" w:hAnsi="Times New Roman" w:cs="Times New Roman"/>
          <w:sz w:val="24"/>
          <w:szCs w:val="24"/>
        </w:rPr>
        <w:lastRenderedPageBreak/>
        <w:t xml:space="preserve">нейтрального углерода ЮНЕП. </w:t>
      </w:r>
      <w:r w:rsidR="00FA6411">
        <w:rPr>
          <w:rFonts w:ascii="Times New Roman" w:hAnsi="Times New Roman" w:cs="Times New Roman"/>
          <w:sz w:val="24"/>
          <w:szCs w:val="24"/>
        </w:rPr>
        <w:t>ВЕКЦА</w:t>
      </w:r>
      <w:r w:rsidRPr="007E09F5">
        <w:rPr>
          <w:rFonts w:ascii="Times New Roman" w:hAnsi="Times New Roman" w:cs="Times New Roman"/>
          <w:sz w:val="24"/>
          <w:szCs w:val="24"/>
        </w:rPr>
        <w:t xml:space="preserve"> присоединилась к сети нейтрального углерода ЮНЕП в 2008 году и разработала свою собственную стратегию для сокращения воздействия климата. Первая сеть благоприятного климата была проведена в Тиране, Албания, 25 - 28 Марта 2008 года, стремясь свести к минимуму углеродный след при создании осведомленности об изменении климата и тестировании новых подходов, таких как посадка деревьев. Фотографии из инициативы по посадке деревьев в Албании доступны на: </w:t>
      </w:r>
      <w:hyperlink r:id="rId15" w:history="1">
        <w:r w:rsidRPr="004A33C4">
          <w:rPr>
            <w:rStyle w:val="a6"/>
            <w:rFonts w:ascii="Times New Roman" w:hAnsi="Times New Roman" w:cs="Times New Roman"/>
            <w:sz w:val="24"/>
            <w:szCs w:val="24"/>
          </w:rPr>
          <w:t>http://fr1.estis.net/sites/ecanetwork/default.asp?site=ecanetwork&amp;page_id=45B65BFE-73CE-4FCB-B36F-A62302B7F65A</w:t>
        </w:r>
      </w:hyperlink>
    </w:p>
    <w:p w:rsidR="007E09F5" w:rsidRPr="007E09F5" w:rsidRDefault="007E09F5" w:rsidP="007E09F5">
      <w:pPr>
        <w:spacing w:after="0"/>
        <w:rPr>
          <w:rFonts w:ascii="Times New Roman" w:hAnsi="Times New Roman" w:cs="Times New Roman"/>
          <w:sz w:val="24"/>
          <w:szCs w:val="24"/>
        </w:rPr>
      </w:pPr>
    </w:p>
    <w:sectPr w:rsidR="007E09F5" w:rsidRPr="007E09F5" w:rsidSect="00271E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03C0"/>
    <w:rsid w:val="00271E80"/>
    <w:rsid w:val="003365EC"/>
    <w:rsid w:val="004803C0"/>
    <w:rsid w:val="007E09F5"/>
    <w:rsid w:val="009945FB"/>
    <w:rsid w:val="00FA64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E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03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03C0"/>
    <w:rPr>
      <w:rFonts w:ascii="Tahoma" w:hAnsi="Tahoma" w:cs="Tahoma"/>
      <w:sz w:val="16"/>
      <w:szCs w:val="16"/>
    </w:rPr>
  </w:style>
  <w:style w:type="table" w:styleId="a5">
    <w:name w:val="Table Grid"/>
    <w:basedOn w:val="a1"/>
    <w:uiPriority w:val="59"/>
    <w:rsid w:val="00480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7E09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03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03C0"/>
    <w:rPr>
      <w:rFonts w:ascii="Tahoma" w:hAnsi="Tahoma" w:cs="Tahoma"/>
      <w:sz w:val="16"/>
      <w:szCs w:val="16"/>
    </w:rPr>
  </w:style>
  <w:style w:type="table" w:styleId="a5">
    <w:name w:val="Table Grid"/>
    <w:basedOn w:val="a1"/>
    <w:uiPriority w:val="59"/>
    <w:rsid w:val="00480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7E09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conv@ozonecenter.kg" TargetMode="External"/><Relationship Id="rId13" Type="http://schemas.openxmlformats.org/officeDocument/2006/relationships/hyperlink" Target="http://www.unep.fr/quiz/astana/"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unep.org/ozonaction/ecanetwork" TargetMode="External"/><Relationship Id="rId12" Type="http://schemas.openxmlformats.org/officeDocument/2006/relationships/hyperlink" Target="http://www.ecacool.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unep.org/ozonaction/ecanetwork/ECAcustomsmeetingIstanbulTurkey/tabid/79292/Default.aspx" TargetMode="External"/><Relationship Id="rId5" Type="http://schemas.openxmlformats.org/officeDocument/2006/relationships/image" Target="media/image2.png"/><Relationship Id="rId15" Type="http://schemas.openxmlformats.org/officeDocument/2006/relationships/hyperlink" Target="http://fr1.estis.net/sites/ecanetwork/default.asp?site=ecanetwork&amp;page_id=45B65BFE-73CE-4FCB-B36F-A62302B7F65A" TargetMode="External"/><Relationship Id="rId10" Type="http://schemas.openxmlformats.org/officeDocument/2006/relationships/hyperlink" Target="http://www.ozonecenter.kg" TargetMode="External"/><Relationship Id="rId4" Type="http://schemas.openxmlformats.org/officeDocument/2006/relationships/image" Target="media/image1.jpeg"/><Relationship Id="rId9" Type="http://schemas.openxmlformats.org/officeDocument/2006/relationships/hyperlink" Target="mailto:amanaliev@ozonecenter.kg" TargetMode="External"/><Relationship Id="rId14" Type="http://schemas.openxmlformats.org/officeDocument/2006/relationships/hyperlink" Target="http://www.unep.fr/quiz/astanarussi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1920</Words>
  <Characters>10949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2013-12-23T09:41:00Z</dcterms:created>
  <dcterms:modified xsi:type="dcterms:W3CDTF">2013-12-23T09:41:00Z</dcterms:modified>
</cp:coreProperties>
</file>