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AA9" w:rsidRPr="00D81AA9" w:rsidRDefault="00D81AA9" w:rsidP="00D81AA9">
      <w:pPr>
        <w:spacing w:before="150" w:after="150" w:line="900" w:lineRule="atLeast"/>
        <w:outlineLvl w:val="0"/>
        <w:rPr>
          <w:rFonts w:ascii="Arial" w:eastAsia="Arial Unicode MS" w:hAnsi="Arial" w:cs="Arial"/>
          <w:b/>
          <w:bCs/>
          <w:kern w:val="36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b/>
          <w:bCs/>
          <w:kern w:val="36"/>
          <w:sz w:val="28"/>
          <w:szCs w:val="28"/>
          <w:lang w:eastAsia="ru-RU"/>
        </w:rPr>
        <w:t>Священная клюшка</w:t>
      </w:r>
    </w:p>
    <w:p w:rsidR="00D81AA9" w:rsidRPr="00A03118" w:rsidRDefault="00D81AA9" w:rsidP="00D81AA9">
      <w:pPr>
        <w:spacing w:after="96" w:line="240" w:lineRule="auto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hyperlink r:id="rId5" w:history="1">
        <w:r w:rsidRPr="00A03118">
          <w:rPr>
            <w:rStyle w:val="a3"/>
            <w:rFonts w:ascii="Arial" w:eastAsia="Arial Unicode MS" w:hAnsi="Arial" w:cs="Arial"/>
            <w:i/>
            <w:iCs/>
            <w:sz w:val="28"/>
            <w:szCs w:val="28"/>
            <w:lang w:eastAsia="ru-RU"/>
          </w:rPr>
          <w:t>https://nplus1.ru/material/2020/01/24/not-hockey-stick-for-climate-change?fbclid</w:t>
        </w:r>
      </w:hyperlink>
      <w:r w:rsidRPr="00A03118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=</w:t>
      </w:r>
    </w:p>
    <w:p w:rsidR="00D81AA9" w:rsidRPr="00A03118" w:rsidRDefault="00D81AA9" w:rsidP="00D81AA9">
      <w:pPr>
        <w:spacing w:after="96" w:line="240" w:lineRule="auto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</w:p>
    <w:p w:rsidR="00D81AA9" w:rsidRPr="00D81AA9" w:rsidRDefault="00D81AA9" w:rsidP="00D81AA9">
      <w:pPr>
        <w:spacing w:after="96" w:line="240" w:lineRule="auto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Стоит ли верить в заговор климатологов</w:t>
      </w:r>
    </w:p>
    <w:p w:rsidR="00D81AA9" w:rsidRDefault="00D81AA9" w:rsidP="00AF7D87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В первые дни января обозреватель «Новой газеты» Юлия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Латынина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опубликовала </w:t>
      </w:r>
      <w:hyperlink r:id="rId6" w:tgtFrame="_blank" w:history="1">
        <w:r w:rsidRPr="00A03118">
          <w:rPr>
            <w:rFonts w:ascii="Arial" w:eastAsia="Arial Unicode MS" w:hAnsi="Arial" w:cs="Arial"/>
            <w:sz w:val="28"/>
            <w:szCs w:val="28"/>
            <w:u w:val="single"/>
            <w:lang w:eastAsia="ru-RU"/>
          </w:rPr>
          <w:t>большую статью</w:t>
        </w:r>
      </w:hyperlink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 с подзаголовком «История самого крупного научного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фейка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ХХ века». В ней говорится о так называемой «хоккейной клюшке Манна» — представленной более двадцати лет назад реконструкции средней температуры в Северном полушарии. Назвав эту реконструкцию «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фейком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>», автор статьи пошла дальше и поставила под сомнение саму концепцию глобального изменения климата под влиянием человеческой деятельности. </w:t>
      </w:r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N + 1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 предложил прокомментировать публикацию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Латыниной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климатологу, старшему научному сотруднику Лаборатории теории климата Института физики атмосферы имени Обухова РАН Александру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Чернокульскому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>.</w:t>
      </w:r>
    </w:p>
    <w:p w:rsidR="00AF7D87" w:rsidRDefault="00AF7D87" w:rsidP="00AF7D87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</w:p>
    <w:p w:rsidR="00AF7D87" w:rsidRPr="00D81AA9" w:rsidRDefault="00AF7D87" w:rsidP="00AF7D87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</w:p>
    <w:p w:rsidR="00D81AA9" w:rsidRPr="00A03118" w:rsidRDefault="00AF7D87" w:rsidP="00D81AA9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  <w:lang w:val="en-US"/>
        </w:rPr>
        <w:t>C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</w:rPr>
        <w:t>татья</w:t>
      </w:r>
      <w:proofErr w:type="spellEnd"/>
      <w:r w:rsidR="00D81AA9" w:rsidRPr="00A03118">
        <w:rPr>
          <w:rFonts w:ascii="Arial" w:eastAsia="Arial Unicode MS" w:hAnsi="Arial" w:cs="Arial"/>
          <w:color w:val="303238"/>
          <w:sz w:val="28"/>
          <w:szCs w:val="28"/>
        </w:rPr>
        <w:t>, опубликованная в «Новой», довольно велика, и разбирать ее всю целиком, указывая на множество мелких неточностей в изложении хорошо известных фактов, не имеет смысла.</w:t>
      </w:r>
    </w:p>
    <w:p w:rsidR="00D81AA9" w:rsidRPr="00A03118" w:rsidRDefault="00D81AA9" w:rsidP="00D81AA9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t>Я сосредоточусь на трех ключевых положениях этой статьи, которые бросают тень на климатологию как науку и, попутно, на добросовестность ученых-климатологов, а также ставят под сомнение антропогенные причины глобального роста температуры в последние десятилетия.</w:t>
      </w:r>
    </w:p>
    <w:p w:rsidR="00D81AA9" w:rsidRPr="00A03118" w:rsidRDefault="00D81AA9" w:rsidP="00D81AA9">
      <w:pPr>
        <w:pStyle w:val="3"/>
        <w:shd w:val="clear" w:color="auto" w:fill="FFFFFF"/>
        <w:spacing w:before="0" w:beforeAutospacing="0" w:after="300" w:afterAutospacing="0" w:line="540" w:lineRule="atLeast"/>
        <w:rPr>
          <w:rFonts w:ascii="Arial" w:eastAsia="Arial Unicode MS" w:hAnsi="Arial" w:cs="Arial"/>
          <w:b w:val="0"/>
          <w:bCs w:val="0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b w:val="0"/>
          <w:bCs w:val="0"/>
          <w:color w:val="303238"/>
          <w:sz w:val="28"/>
          <w:szCs w:val="28"/>
        </w:rPr>
        <w:t xml:space="preserve"> </w:t>
      </w:r>
      <w:r w:rsidRPr="00A03118">
        <w:rPr>
          <w:rFonts w:ascii="Arial" w:eastAsia="Arial Unicode MS" w:hAnsi="Arial" w:cs="Arial"/>
          <w:b w:val="0"/>
          <w:bCs w:val="0"/>
          <w:color w:val="303238"/>
          <w:sz w:val="28"/>
          <w:szCs w:val="28"/>
        </w:rPr>
        <w:t>Церковь», «святой» и «икона»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Рассмотрим эти положения чуть подробнее. В статье утверждается, что климатологи, бьющие тревогу по поводу глобального изменения климата, образуют «церковь глобального потепления» и проповедуют «алармистский культ, переосмысливший старые архетипы Конца Света... в новой, “научной” упаковке».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«Главной иконой» этого «культа» в статье названа «хоккейная клюшка Манна» — график средней температуры в Северном полушарии, впервые представленный в </w:t>
      </w:r>
      <w:hyperlink r:id="rId7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статье</w:t>
        </w:r>
      </w:hyperlink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опубликованной американским профессором Майклом Манном («Главным Святым Церкви Глобального потепления») и его соавторами в журнале </w:t>
      </w:r>
      <w:proofErr w:type="spellStart"/>
      <w:r w:rsidRPr="00D81AA9">
        <w:rPr>
          <w:rFonts w:ascii="Arial" w:eastAsia="Arial Unicode MS" w:hAnsi="Arial" w:cs="Arial"/>
          <w:i/>
          <w:iCs/>
          <w:color w:val="303238"/>
          <w:sz w:val="28"/>
          <w:szCs w:val="28"/>
          <w:lang w:eastAsia="ru-RU"/>
        </w:rPr>
        <w:t>Nature</w:t>
      </w:r>
      <w:proofErr w:type="spellEnd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в 1998 году.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«Клюшкой» этот график неофициально называют потому, что он демонстрирует резкий рост средней температуры в последние годы ХХ и в </w:t>
      </w: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>начале XXI века, вздымающийся, будто крюк хоккейной клюшки, над «рукоятью» — относительно более ровной глобальной температурной кривой, реконструированной за предыдущие столетия.</w:t>
      </w:r>
    </w:p>
    <w:p w:rsidR="00D81AA9" w:rsidRPr="00D81AA9" w:rsidRDefault="00D81AA9" w:rsidP="00D81AA9">
      <w:pPr>
        <w:shd w:val="clear" w:color="auto" w:fill="FFFFFF"/>
        <w:spacing w:after="7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color w:val="303238"/>
          <w:sz w:val="28"/>
          <w:szCs w:val="28"/>
          <w:lang w:eastAsia="ru-RU"/>
        </w:rPr>
        <w:drawing>
          <wp:inline distT="0" distB="0" distL="0" distR="0">
            <wp:extent cx="4861560" cy="4078374"/>
            <wp:effectExtent l="0" t="0" r="0" b="0"/>
            <wp:docPr id="25" name="Рисунок 25" descr="https://nplus1.ru/images/2020/01/24/d310678f958aae6b7d463eaf97d90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plus1.ru/images/2020/01/24/d310678f958aae6b7d463eaf97d90e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28" cy="408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График Манна, реконструирующий динамику средней температуры в Северном полушарии за последние 600 лет</w:t>
      </w:r>
    </w:p>
    <w:p w:rsidR="00D81AA9" w:rsidRPr="00D81AA9" w:rsidRDefault="00D81AA9" w:rsidP="00D81AA9">
      <w:pPr>
        <w:shd w:val="clear" w:color="auto" w:fill="FFFFFF"/>
        <w:spacing w:after="0" w:line="240" w:lineRule="auto"/>
        <w:rPr>
          <w:rFonts w:ascii="Arial" w:eastAsia="Arial Unicode MS" w:hAnsi="Arial" w:cs="Arial"/>
          <w:i/>
          <w:iCs/>
          <w:color w:val="7E8584"/>
          <w:sz w:val="28"/>
          <w:szCs w:val="28"/>
          <w:lang w:val="en-US" w:eastAsia="ru-RU"/>
        </w:rPr>
      </w:pPr>
      <w:r w:rsidRPr="00D81AA9">
        <w:rPr>
          <w:rFonts w:ascii="Arial" w:eastAsia="Arial Unicode MS" w:hAnsi="Arial" w:cs="Arial"/>
          <w:i/>
          <w:iCs/>
          <w:color w:val="7E8584"/>
          <w:sz w:val="28"/>
          <w:szCs w:val="28"/>
          <w:lang w:val="en-US" w:eastAsia="ru-RU"/>
        </w:rPr>
        <w:t>Mann, M. E., Bradley, R. S., &amp; Hughes, M. K. / Nature, 1998</w:t>
      </w:r>
    </w:p>
    <w:p w:rsidR="00957BC7" w:rsidRDefault="00957BC7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Именно «хоккейная клюшка Манна», утверждается в статье, запустила механизм борьбы с «глобальным потеплением» на глобальном же уровне.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По мнению автора статьи, деятельность многочисленных экспертов, институтов и других организаций, а также функционирование международных договоров, таких, например, как Киотский протокол и Парижское соглашение, прямо базируется на выводах, в основе которых лежит этот «изменивший жизнь человечества график».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Между тем, говорится в статье, график этот «оказался </w:t>
      </w:r>
      <w:proofErr w:type="spellStart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фейком</w:t>
      </w:r>
      <w:proofErr w:type="spellEnd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», поскольку при его составлении в расчеты Манна вкрался ряд математических ошибок, если не сказать сознательных манипуляций с данными. Но Манн и его «церковь», тем не менее, продолжают стоять на своем и всеми силами затыкают рот своим критикам. Сам Манн охарактеризован в статье как «Петрик от климатологии, нарцисс, склочник и сутяжник».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 xml:space="preserve">«Разоблачить» Манна удалось тем ученым (в статье оговаривается, что в основном они не имеют прямого отношения к климатологии и </w:t>
      </w:r>
      <w:proofErr w:type="spellStart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палеоклиматологии</w:t>
      </w:r>
      <w:proofErr w:type="spellEnd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), которые обратили внимание на следующее несоответствие: график Манна игнорирует крупные изменения климата, происходившие прежде, — такие, например, как Средневековый теплый период (СТП, около 800 — 1300 годы) или Малый ледниковый период (МЛП, XIV–XIX века).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Если принять во внимание эти естественные колебания климата Земли, вызванные явно не избытком СО</w:t>
      </w:r>
      <w:r w:rsidRPr="00D81AA9">
        <w:rPr>
          <w:rFonts w:ascii="Arial" w:eastAsia="Arial Unicode MS" w:hAnsi="Arial" w:cs="Arial"/>
          <w:color w:val="303238"/>
          <w:sz w:val="28"/>
          <w:szCs w:val="28"/>
          <w:vertAlign w:val="subscript"/>
          <w:lang w:eastAsia="ru-RU"/>
        </w:rPr>
        <w:t>2</w:t>
      </w: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в атмосфере, то «клюшка» перестанет быть «клюшкой» — ровная рукоять, на конце которой вздымается крюк, на поверку окажется совсем даже не ровной.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Нынешнее потепление на этом фоне выглядит как очередная — естественная — волна климатических изменений, идущих друг за другом на протяжении всей истории Земли. Из всего этого в статье делается вывод: «Мы не знаем, насколько существенен антропогенный вклад в нынешний климат».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В статье есть и другие доводы, призванные продемонстрировать ошибочность расчетов Манна на основе метода главных компонент и дендрохронологии, его недобросовестность на примере «</w:t>
      </w:r>
      <w:proofErr w:type="spellStart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климатгейта</w:t>
      </w:r>
      <w:proofErr w:type="spellEnd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» 2009 года, а также мировой заговор западных политиков во главе с Маргарет Тэтчер, использовавшей угрозу глобального потепления для борьбы с </w:t>
      </w:r>
      <w:proofErr w:type="spellStart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петрократиями</w:t>
      </w:r>
      <w:proofErr w:type="spellEnd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— от Саудовской Аравии до СССР.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В статье есть и другие доводы, призванные продемонстрировать ошибочность расчетов Манна на основе метода главных компонент и дендрохронологии, его недобросовестность на примере «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климатгейта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» 2009 года, а также мировой заговор западных политиков во главе с Маргарет Тэтчер, использовавшей угрозу глобального потепления для борьбы с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петрократиями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— от Саудовской Аравии до СССР.</w:t>
      </w:r>
    </w:p>
    <w:p w:rsidR="00D81AA9" w:rsidRPr="00D81AA9" w:rsidRDefault="00D81AA9" w:rsidP="00D81AA9">
      <w:pPr>
        <w:shd w:val="clear" w:color="auto" w:fill="F2F3F2"/>
        <w:spacing w:after="150" w:line="450" w:lineRule="atLeast"/>
        <w:textAlignment w:val="top"/>
        <w:outlineLvl w:val="3"/>
        <w:rPr>
          <w:rFonts w:ascii="Arial" w:eastAsia="Arial Unicode MS" w:hAnsi="Arial" w:cs="Arial"/>
          <w:b/>
          <w:bCs/>
          <w:sz w:val="28"/>
          <w:szCs w:val="28"/>
          <w:lang w:eastAsia="ru-RU"/>
        </w:rPr>
      </w:pPr>
      <w:proofErr w:type="spellStart"/>
      <w:r w:rsidRPr="00D81AA9">
        <w:rPr>
          <w:rFonts w:ascii="Arial" w:eastAsia="Arial Unicode MS" w:hAnsi="Arial" w:cs="Arial"/>
          <w:b/>
          <w:bCs/>
          <w:sz w:val="28"/>
          <w:szCs w:val="28"/>
          <w:lang w:eastAsia="ru-RU"/>
        </w:rPr>
        <w:t>Климатгейт</w:t>
      </w:r>
      <w:proofErr w:type="spellEnd"/>
    </w:p>
    <w:p w:rsidR="00D81AA9" w:rsidRPr="00D81AA9" w:rsidRDefault="00D81AA9" w:rsidP="00D81AA9">
      <w:pPr>
        <w:shd w:val="clear" w:color="auto" w:fill="F2F3F2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Эта нашумевшая скандальная </w:t>
      </w:r>
      <w:hyperlink r:id="rId9" w:tgtFrame="_blank" w:history="1">
        <w:r w:rsidRPr="00A03118">
          <w:rPr>
            <w:rFonts w:ascii="Arial" w:eastAsia="Arial Unicode MS" w:hAnsi="Arial" w:cs="Arial"/>
            <w:sz w:val="28"/>
            <w:szCs w:val="28"/>
            <w:u w:val="single"/>
            <w:lang w:eastAsia="ru-RU"/>
          </w:rPr>
          <w:t>история</w:t>
        </w:r>
      </w:hyperlink>
      <w:r w:rsidRPr="00D81AA9">
        <w:rPr>
          <w:rFonts w:ascii="Arial" w:eastAsia="Arial Unicode MS" w:hAnsi="Arial" w:cs="Arial"/>
          <w:sz w:val="28"/>
          <w:szCs w:val="28"/>
          <w:lang w:eastAsia="ru-RU"/>
        </w:rPr>
        <w:t>, случившаяся в 2009 году, связана с хакерской атакой на Отделение климатологии Университета Восточной Англии (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Climate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Research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Union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,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University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of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East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Anglia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>) — один из пяти центров по расчету глобальной температуры воздуха на основе станционных и судовых наблюдений. 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  <w:t>В результате атаки в открытый доступ через сервер в Томске и последующее копирование на различные сайты в интернете был выложен архив с электронной перепиской ученых-климатологов, некоторыми файлами данных и программами их обработки. 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lastRenderedPageBreak/>
        <w:t>Отдельные фрагменты, вырванные из контекста, вызвали критику климатических скептиков, заявивших, что ученые-климатологи манипулируют данными и оказывают давление на авторов и редакторов научных журналов. Газеты достаточно активно разогревали поднятый скандал. 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  <w:t>Для проверки информации, содержащейся в выложенном хакерами архиве, в Великобритании и США было создано восемь комиссий — </w:t>
      </w:r>
      <w:hyperlink r:id="rId10" w:tgtFrame="_blank" w:history="1">
        <w:r w:rsidRPr="00A03118">
          <w:rPr>
            <w:rFonts w:ascii="Arial" w:eastAsia="Arial Unicode MS" w:hAnsi="Arial" w:cs="Arial"/>
            <w:sz w:val="28"/>
            <w:szCs w:val="28"/>
            <w:u w:val="single"/>
            <w:lang w:eastAsia="ru-RU"/>
          </w:rPr>
          <w:t>государственных</w:t>
        </w:r>
      </w:hyperlink>
      <w:r w:rsidRPr="00D81AA9">
        <w:rPr>
          <w:rFonts w:ascii="Arial" w:eastAsia="Arial Unicode MS" w:hAnsi="Arial" w:cs="Arial"/>
          <w:sz w:val="28"/>
          <w:szCs w:val="28"/>
          <w:lang w:eastAsia="ru-RU"/>
        </w:rPr>
        <w:t>, </w:t>
      </w:r>
      <w:hyperlink r:id="rId11" w:tgtFrame="_blank" w:history="1">
        <w:r w:rsidRPr="00A03118">
          <w:rPr>
            <w:rFonts w:ascii="Arial" w:eastAsia="Arial Unicode MS" w:hAnsi="Arial" w:cs="Arial"/>
            <w:sz w:val="28"/>
            <w:szCs w:val="28"/>
            <w:u w:val="single"/>
            <w:lang w:eastAsia="ru-RU"/>
          </w:rPr>
          <w:t>научных</w:t>
        </w:r>
      </w:hyperlink>
      <w:r w:rsidRPr="00D81AA9">
        <w:rPr>
          <w:rFonts w:ascii="Arial" w:eastAsia="Arial Unicode MS" w:hAnsi="Arial" w:cs="Arial"/>
          <w:sz w:val="28"/>
          <w:szCs w:val="28"/>
          <w:lang w:eastAsia="ru-RU"/>
        </w:rPr>
        <w:t>, </w:t>
      </w:r>
      <w:hyperlink r:id="rId12" w:tgtFrame="_blank" w:history="1">
        <w:r w:rsidRPr="00A03118">
          <w:rPr>
            <w:rFonts w:ascii="Arial" w:eastAsia="Arial Unicode MS" w:hAnsi="Arial" w:cs="Arial"/>
            <w:sz w:val="28"/>
            <w:szCs w:val="28"/>
            <w:u w:val="single"/>
            <w:lang w:eastAsia="ru-RU"/>
          </w:rPr>
          <w:t>частных</w:t>
        </w:r>
      </w:hyperlink>
      <w:r w:rsidRPr="00D81AA9">
        <w:rPr>
          <w:rFonts w:ascii="Arial" w:eastAsia="Arial Unicode MS" w:hAnsi="Arial" w:cs="Arial"/>
          <w:sz w:val="28"/>
          <w:szCs w:val="28"/>
          <w:lang w:eastAsia="ru-RU"/>
        </w:rPr>
        <w:t> — которые досконально изучили эту историю с разных сторон — и с точки зрения науки, и с точки зрения этики, и с точки зрения лингвистики. Комиссии не обнаружили ни доказательств мошенничества, ни доказательств нарушения научной этики. Большинство газет </w:t>
      </w:r>
      <w:hyperlink r:id="rId13" w:tgtFrame="_blank" w:history="1">
        <w:r w:rsidRPr="00A03118">
          <w:rPr>
            <w:rFonts w:ascii="Arial" w:eastAsia="Arial Unicode MS" w:hAnsi="Arial" w:cs="Arial"/>
            <w:sz w:val="28"/>
            <w:szCs w:val="28"/>
            <w:u w:val="single"/>
            <w:lang w:eastAsia="ru-RU"/>
          </w:rPr>
          <w:t>принесли извинения</w:t>
        </w:r>
      </w:hyperlink>
      <w:r w:rsidRPr="00D81AA9">
        <w:rPr>
          <w:rFonts w:ascii="Arial" w:eastAsia="Arial Unicode MS" w:hAnsi="Arial" w:cs="Arial"/>
          <w:sz w:val="28"/>
          <w:szCs w:val="28"/>
          <w:lang w:eastAsia="ru-RU"/>
        </w:rPr>
        <w:t> и даже </w:t>
      </w:r>
      <w:hyperlink r:id="rId14" w:tgtFrame="_blank" w:history="1">
        <w:r w:rsidRPr="00A03118">
          <w:rPr>
            <w:rFonts w:ascii="Arial" w:eastAsia="Arial Unicode MS" w:hAnsi="Arial" w:cs="Arial"/>
            <w:sz w:val="28"/>
            <w:szCs w:val="28"/>
            <w:u w:val="single"/>
            <w:lang w:eastAsia="ru-RU"/>
          </w:rPr>
          <w:t>отозвали</w:t>
        </w:r>
      </w:hyperlink>
      <w:r w:rsidRPr="00D81AA9">
        <w:rPr>
          <w:rFonts w:ascii="Arial" w:eastAsia="Arial Unicode MS" w:hAnsi="Arial" w:cs="Arial"/>
          <w:sz w:val="28"/>
          <w:szCs w:val="28"/>
          <w:lang w:eastAsia="ru-RU"/>
        </w:rPr>
        <w:t> свои статьи на этот счет. 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  <w:t>У ученых-климатологов эта история, ожидаемо, вызвала негативные эмоции. В какой-то мере она послужила дополнительным стимулом для движения в сторону максимально открытых исследований, когда в общий доступ выкладываются исходные и обработанные данные, программные коды. Еще 10–15 лет назад этого не было, сейчас во многих журналах это уже стало обязательным условием.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На опровержении этих доводов с научной точки зрения я и хочу остановиться.</w:t>
      </w:r>
    </w:p>
    <w:p w:rsidR="00D81AA9" w:rsidRPr="00D81AA9" w:rsidRDefault="00D81AA9" w:rsidP="00957BC7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</w: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Но сказанного достаточно, чтобы продемонстрировать три ключевых пункта рассуждений Юлии </w:t>
      </w:r>
      <w:proofErr w:type="spellStart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Латыниной</w:t>
      </w:r>
      <w:proofErr w:type="spellEnd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: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b/>
          <w:bCs/>
          <w:color w:val="303238"/>
          <w:sz w:val="28"/>
          <w:szCs w:val="28"/>
          <w:lang w:eastAsia="ru-RU"/>
        </w:rPr>
        <w:t>1.</w:t>
      </w: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Глобальные изменения климата — это нормально: они не раз происходили в прошлом, и представители самых разных наук собрали обширную базу доказательств существования СТП, МЛП и других подобных явлений, к которым человек никакого отношения не имел. Однако «климатологи-алармисты» эти данные почему-то игнорируют.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b/>
          <w:bCs/>
          <w:color w:val="303238"/>
          <w:sz w:val="28"/>
          <w:szCs w:val="28"/>
          <w:lang w:eastAsia="ru-RU"/>
        </w:rPr>
        <w:t>2.</w:t>
      </w: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 Тревожные заявления ученых, предупреждающих о катастрофических последствиях глобального изменения климата под влиянием человека, — не более чем пиар-акция, нацеленная на подъем их собственного престижа и не основанная на строго научных данных, поскольку главная «икона» этого «алармистского культа» — </w:t>
      </w:r>
      <w:proofErr w:type="spellStart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фейк</w:t>
      </w:r>
      <w:proofErr w:type="spellEnd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b/>
          <w:bCs/>
          <w:color w:val="303238"/>
          <w:sz w:val="28"/>
          <w:szCs w:val="28"/>
          <w:lang w:eastAsia="ru-RU"/>
        </w:rPr>
        <w:t>3.</w:t>
      </w: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Поэтому, хотя очередное глобальное изменение климата действительно происходит на наших глазах, мы не можем утверждать, что это дело рук человека, никаких объективных данных на этот счет у нас нет. Деятельность Межправительственной группы экспертов по изменению климата (IPCC) и подобных организаций посвящена решению не научных, а каких-то других, прежде всего политических, задач.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>На опровержении этих доводов с научной точки зрения я и хочу остановиться.</w:t>
      </w:r>
    </w:p>
    <w:p w:rsidR="00D81AA9" w:rsidRPr="00D81AA9" w:rsidRDefault="00D81AA9" w:rsidP="00D81AA9">
      <w:pPr>
        <w:shd w:val="clear" w:color="auto" w:fill="FFFFFF"/>
        <w:spacing w:after="300" w:line="540" w:lineRule="atLeast"/>
        <w:textAlignment w:val="top"/>
        <w:outlineLvl w:val="2"/>
        <w:rPr>
          <w:rFonts w:ascii="Arial" w:eastAsia="Arial Unicode MS" w:hAnsi="Arial" w:cs="Arial"/>
          <w:b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b/>
          <w:sz w:val="28"/>
          <w:szCs w:val="28"/>
          <w:lang w:eastAsia="ru-RU"/>
        </w:rPr>
        <w:t>Что такое глобальная температура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Начнем с вопроса о том, что такое изменения климата, происходившие в прошлом, с точки зрения современной климатологии.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В статье </w:t>
      </w:r>
      <w:proofErr w:type="spellStart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Латыниной</w:t>
      </w:r>
      <w:proofErr w:type="spellEnd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приводится множество письменных свидетельств и ссылок на региональные реконструкции, показывающие наличие СТП и МЛП. При этом автор делает существенную ошибку — выдает региональные реконструкции и региональные письменные свидетельства за глобальные или полушарные.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Вопреки сказанному в статье, никто из ученых не спорит с тем, что в отдельных регионах мира наблюдались и </w:t>
      </w:r>
      <w:proofErr w:type="gramStart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СТП</w:t>
      </w:r>
      <w:proofErr w:type="gramEnd"/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и МЛП. Но необходимо понимать, что регионы, где отмечалось то или иное событие, остаются всего лишь регионами, занимающими определенную долю шара/полушария.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Поэтому просто экстраполировать письменные свидетельства о сборе мандаринов в Китае или о выращивании винограде в Англии на всю планету (и даже полушарие) с научной точки зрения нельзя. Как же в таком случае можно оценить глобальную температуру?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 одной стороны — необходимо использовать все доступные реконструкции, а не только реконструкции из Северной Америки и Северной Евразии. С другой — восстановить радиационное воздействие внешних факторов (солнечной и вулканической активности), а также оценить собственную изменчивость климата, чтобы определить условия, обусловившие то или иное изменение температуры.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Именно этим и занимаются десятки научных групп во всем мире. И в целом, все они приходят к одному и тому же выводу: и раннее потепление (так называемый Римский теплый период), и холодные «темные века» (похолодание в середине первого тысячелетия), и СТП, и МЛП не наблюдались на всей планете синхронно и имели разную амплитуду.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6D98132D" wp14:editId="7E2488D9">
            <wp:extent cx="5952709" cy="3714380"/>
            <wp:effectExtent l="0" t="0" r="0" b="635"/>
            <wp:docPr id="23" name="Рисунок 23" descr="https://nplus1.ru/images/2020/01/23/8fe421d540a0d198e9f0c4774a5f5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plus1.ru/images/2020/01/23/8fe421d540a0d198e9f0c4774a5f57c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30" cy="371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Столетие, в котором отмечался тот или иной период потепления или похолодания (сверху: Римский теплый период, СТП, современное потепление; снизу: холодный период в «темные века», МЛП)</w:t>
      </w:r>
    </w:p>
    <w:p w:rsidR="00D81AA9" w:rsidRPr="00A03118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 xml:space="preserve">Raphael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>Neukom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 xml:space="preserve"> et al. / Nature, 2019</w:t>
      </w:r>
    </w:p>
    <w:p w:rsidR="00D81AA9" w:rsidRPr="00A03118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</w:p>
    <w:p w:rsidR="006443F9" w:rsidRPr="006443F9" w:rsidRDefault="006443F9" w:rsidP="006443F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Наиболее синхронным и сильным событием был Малый ледниковый период, но это и понятно, если проанализировать причины этого события. МЛП происходил на фоне </w:t>
      </w:r>
      <w:hyperlink r:id="rId16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уменьшения солнечной активности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(на этот период пришлось несколько минимумов солнечной активности — </w:t>
      </w:r>
      <w:proofErr w:type="spellStart"/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Шперера</w:t>
      </w:r>
      <w:proofErr w:type="spellEnd"/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, </w:t>
      </w:r>
      <w:proofErr w:type="spellStart"/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Маундера</w:t>
      </w:r>
      <w:proofErr w:type="spellEnd"/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Дальтона) и </w:t>
      </w:r>
      <w:hyperlink r:id="rId17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роста вулканической активности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(несколько достаточно </w:t>
      </w:r>
      <w:hyperlink r:id="rId18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крупных извержений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).</w:t>
      </w:r>
    </w:p>
    <w:p w:rsidR="006443F9" w:rsidRPr="006443F9" w:rsidRDefault="006443F9" w:rsidP="006443F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Оба эти фактора работали на уменьшение приходящей солнечной радиации: активность Солнца снижалась напрямую, а из-за извержения вулканов в стратосфере создавался экран из сульфатных аэрозолей, отражавших часть солнечного света обратно в космос.</w:t>
      </w:r>
    </w:p>
    <w:p w:rsidR="006443F9" w:rsidRPr="006443F9" w:rsidRDefault="006443F9" w:rsidP="006443F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Крупные извержения вулканов в тропиках ведут к появлению аэрозольного экрана на всей планете, а вот извержения в высоких широтах — только к появлению экрана над полушарием, где расположен вулкан (и этот экран в целом более короткоживущий).</w:t>
      </w:r>
    </w:p>
    <w:p w:rsidR="006443F9" w:rsidRPr="006443F9" w:rsidRDefault="006443F9" w:rsidP="006443F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proofErr w:type="gramStart"/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Во время</w:t>
      </w:r>
      <w:proofErr w:type="gramEnd"/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МЛП наблюдалось повышенная вулканическая активность над Северным полушарием, хотя радиационное воздействие было достаточно слабым и в целом на планете. Небольшое уменьшение приходящей солнечной радиации </w:t>
      </w:r>
      <w:hyperlink r:id="rId19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запустило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 цепочку обратных связей — альбедную на суше Северного полушария, что привело к росту горных ледников в </w:t>
      </w: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>Евразии и Северной Америке, а также циркуляционную в океане, обусловленную увеличением морского льда в Арктике и последующим ослаблением циркуляции в Северной Атлантике.</w:t>
      </w:r>
    </w:p>
    <w:p w:rsidR="006443F9" w:rsidRPr="006443F9" w:rsidRDefault="006443F9" w:rsidP="006443F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При этом исследования </w:t>
      </w:r>
      <w:hyperlink r:id="rId20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показывают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значительную роль внутренней изменчивости, приводившей к существенным региональным различиям. Например, в Гималаях максимальная площадь ледников </w:t>
      </w:r>
      <w:hyperlink r:id="rId21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отмечена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с 1300 по 1600 год., а в Северной Америке наступление ледников началось на 200 лет позже. В Европе к тому же на усиление зимних морозов влияла океаническая циркуляция.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5AA2F56D" wp14:editId="38AE3588">
            <wp:extent cx="6204958" cy="2477135"/>
            <wp:effectExtent l="0" t="0" r="5715" b="0"/>
            <wp:docPr id="22" name="Рисунок 22" descr="https://nplus1.ru/images/2020/01/23/9dc822639ae7c2ca25328245bf7c1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plus1.ru/images/2020/01/23/9dc822639ae7c2ca25328245bf7c1d4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63" cy="24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Реконструкция Северного полушария в мае-августе (относительно 1961–1990 годов). Цветные прямоугольники обозначают время наступления ледников в Европе, Исландии, Северной Америке и Гималаях.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>Ann V Rowan / The Holocene, 2016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Поделиться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6443F9" w:rsidRPr="006443F9" w:rsidRDefault="006443F9" w:rsidP="006443F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МЛП отчетливо прослеживается на всех глобальных реконструкциях — и на оригинальной «клюшке Манна», и на тех же данных, но с использованием </w:t>
      </w:r>
      <w:hyperlink r:id="rId23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других методов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(без применения метода главных компонент), и на </w:t>
      </w:r>
      <w:hyperlink r:id="rId24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более поздних работах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самого Манна, и на </w:t>
      </w:r>
      <w:hyperlink r:id="rId25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новых реконструкциях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других авторов, полученных с использованием различных источников (морские и озерные отложения, кораллы, ледниковые керны, деревья, исторические хроники). Понижение температуры в этот период </w:t>
      </w:r>
      <w:hyperlink r:id="rId26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подтверждается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и понижением уровня моря.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0E488192" wp14:editId="0E9F6561">
            <wp:extent cx="5717966" cy="4886850"/>
            <wp:effectExtent l="0" t="0" r="0" b="9525"/>
            <wp:docPr id="21" name="Рисунок 21" descr="https://nplus1.ru/images/2020/01/23/e4586e1bd3d2ecc6a5206ede2a57c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plus1.ru/images/2020/01/23/e4586e1bd3d2ecc6a5206ede2a57cdb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11" cy="48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Изменение температуры (в единицах стандартного отклонения для каждого источника данных) по разным данным: кораллы, документальные свидетельства, ледниковые керны, озерные отложения, морские отложения, кольца деревьев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 xml:space="preserve">PAGES2k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Consortium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 xml:space="preserve"> /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Nature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, 2017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6443F9" w:rsidRPr="006443F9" w:rsidRDefault="006443F9" w:rsidP="006443F9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Если МЛП проявляется достаточно явно на глобальном уровне, причем как в Северном полушарии, так и в Южном, то про СТП этого сказать нельзя. Это явление нельзя назвать ни полушарно, ни тем более глобально синхронизированным. В его развитии гораздо </w:t>
      </w:r>
      <w:proofErr w:type="spellStart"/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бóльшую</w:t>
      </w:r>
      <w:proofErr w:type="spellEnd"/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роль сыграла </w:t>
      </w:r>
      <w:hyperlink r:id="rId28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внутренняя изменчивость</w:t>
        </w:r>
      </w:hyperlink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а не внешний форсинг.</w:t>
      </w:r>
    </w:p>
    <w:p w:rsidR="006443F9" w:rsidRPr="006443F9" w:rsidRDefault="006443F9" w:rsidP="006443F9">
      <w:pPr>
        <w:shd w:val="clear" w:color="auto" w:fill="FFFFFF"/>
        <w:spacing w:after="225" w:line="240" w:lineRule="auto"/>
        <w:ind w:firstLine="284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Так, детальная реконструкция по Южному полушарию </w:t>
      </w:r>
      <w:proofErr w:type="spellStart"/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fldChar w:fldCharType="begin"/>
      </w: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instrText xml:space="preserve"> HYPERLINK "https://www.nature.com/articles/nclimate2174" \t "_blank" </w:instrText>
      </w: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fldChar w:fldCharType="separate"/>
      </w:r>
      <w:r w:rsidRPr="00A03118">
        <w:rPr>
          <w:rFonts w:ascii="Arial" w:eastAsia="Arial Unicode MS" w:hAnsi="Arial" w:cs="Arial"/>
          <w:color w:val="FF601A"/>
          <w:sz w:val="28"/>
          <w:szCs w:val="28"/>
          <w:u w:val="single"/>
          <w:lang w:eastAsia="ru-RU"/>
        </w:rPr>
        <w:t>показывает</w:t>
      </w: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fldChar w:fldCharType="end"/>
      </w:r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наличие</w:t>
      </w:r>
      <w:proofErr w:type="spellEnd"/>
      <w:r w:rsidRPr="006443F9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более теплых периодов в XIII веке, когда в Северном полушарии, наоборот, наблюдались отрицательные аномалии. А теплый XI век Северного полушария не прослеживается в Южном.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400FB94" wp14:editId="04C01F3B">
            <wp:extent cx="5896778" cy="4068553"/>
            <wp:effectExtent l="0" t="0" r="8890" b="8255"/>
            <wp:docPr id="20" name="Рисунок 20" descr="https://nplus1.ru/images/2020/01/23/ada4e0f06d7a030ab7018d11f468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plus1.ru/images/2020/01/23/ada4e0f06d7a030ab7018d11f468e43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51" cy="40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Количество членов ансамбля (реконструкции и модели), показывающие аномально теплые и аномально холодные периоды в Северном и Южном полушариях и в обоих полушариях вместе. Внизу показаны изменения радиационного воздействия вулканов, солнца и парниковых газов.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 xml:space="preserve">Raphael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>Neukom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 xml:space="preserve"> et al. / Nature Climate Change, 2014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hyperlink r:id="rId30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Показано</w:t>
        </w:r>
      </w:hyperlink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что во время СТП в Тихом океане преобладала холодная фаза явления Эль-Ниньо/Ла-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Нинья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что обусловило отрицательную аномалию температуры над экваториальными районами Тихого океана в этот период.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Что касается Европы, откуда пришло большинство письменных свидетельств, то более теплый климат региона 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fldChar w:fldCharType="begin"/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instrText xml:space="preserve"> HYPERLINK "https://science.sciencemag.org/content/324/5923/78" \t "_blank" </w:instrTex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fldChar w:fldCharType="separate"/>
      </w:r>
      <w:r w:rsidRPr="00A03118">
        <w:rPr>
          <w:rFonts w:ascii="Arial" w:eastAsia="Arial Unicode MS" w:hAnsi="Arial" w:cs="Arial"/>
          <w:color w:val="FF601A"/>
          <w:sz w:val="28"/>
          <w:szCs w:val="28"/>
          <w:u w:val="single"/>
          <w:lang w:eastAsia="ru-RU"/>
        </w:rPr>
        <w:t>обеспечила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fldChar w:fldCharType="end"/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положительная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фаза Северо-Атлантического колебания, преобладавшая здесь долгое время.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597AD254" wp14:editId="57E3CDAF">
            <wp:extent cx="5445125" cy="4712330"/>
            <wp:effectExtent l="0" t="0" r="3175" b="0"/>
            <wp:docPr id="19" name="Рисунок 19" descr="https://nplus1.ru/images/2020/01/23/0260eff3fe5c9e7a5a58b656242103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plus1.ru/images/2020/01/23/0260eff3fe5c9e7a5a58b656242103e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07" cy="47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Схема погодных аномалий во время положительной фазы </w:t>
      </w:r>
      <w:proofErr w:type="gram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Северо-Атлантического</w:t>
      </w:r>
      <w:proofErr w:type="gram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колебания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>Valérie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 xml:space="preserve"> Trouet1 et al. / Science, 2009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D81AA9" w:rsidRPr="00D81AA9" w:rsidRDefault="008003D2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 xml:space="preserve"> итоге, если 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>осреднять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 xml:space="preserve"> по всей планете, а не только по Европе, то СТП действительно перестает быть ярко выраженной особенностью температурного графика. А вот понижение температуры в МЛП прослеживается достаточно явно.</w:t>
      </w:r>
      <w:r w:rsidR="00D81AA9"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5956A55D" wp14:editId="6C12C51D">
            <wp:extent cx="6009686" cy="2402974"/>
            <wp:effectExtent l="0" t="0" r="0" b="0"/>
            <wp:docPr id="18" name="Рисунок 18" descr="https://nplus1.ru/images/2020/01/23/b4f4ce8c20ea3bf15a68f996304522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plus1.ru/images/2020/01/23/b4f4ce8c20ea3bf15a68f9963045226f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37" cy="240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Сравнение различных реконструкций глобальной температуры воздуха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lastRenderedPageBreak/>
        <w:t>PAGES 2k Consortium / Nature Geoscience, 2019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Кстати, в первый отчет IPСС в схематичном виде вошел график не глобальной температуры (хотя написано в отчете именно так), а температуры Англии из </w:t>
      </w:r>
      <w:hyperlink r:id="rId33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статьи</w:t>
        </w:r>
      </w:hyperlink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Хуберта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Лэмба 1965 года.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В отчете также написано, что, хотя СТП был теплым периодом в Западной Европе, Исландии и Гренландии, в Китае в это время отмечались аномально холодные зимы. Этот график температуры Англии приводит в своей статье и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Латынина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ошибочно называя его «графиком изменения мировой температуры».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В целом,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палеореконструкции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за два прошедших тысячелетия говорят о том, что вплоть до конца ХХ века за это время </w:t>
      </w:r>
      <w:hyperlink r:id="rId34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не было периодов</w:t>
        </w:r>
      </w:hyperlink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когда на всей планете наблюдались бы температурные аномалии одного знака.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2720CBB1" wp14:editId="30331D58">
            <wp:extent cx="4922246" cy="3159125"/>
            <wp:effectExtent l="0" t="0" r="0" b="3175"/>
            <wp:docPr id="17" name="Рисунок 17" descr="https://nplus1.ru/images/2020/01/23/c1db67b5b2618291b21f90f4c63f4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plus1.ru/images/2020/01/23/c1db67b5b2618291b21f90f4c63f489f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45" cy="31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Процент поверхности Земли с положительными и отрицательными аномалиями температуры по отношению к среднему за 1–2000 годы (сверху — ежегодные данные, снизу — осреднение за 50 лет)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 xml:space="preserve">Raphael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>Neukom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 xml:space="preserve"> et al. / Nature, 2019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При этом важно понимать, что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палеореконструкции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на основе годовых колец деревьев и других следов органического происхождения — это все же реконструкции, а не прямые измерения. В них «участвуют» не механические приборы, а живые организмы, которые хоть и чутко реагируют на климатические изменения, могут зависеть от разных параметров.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 xml:space="preserve">Многие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палеоданные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содержат в себе информацию о нескольких параметрах сразу — например, о температуре и влажности. Еще есть определенный «сдвиг» в сторону «записи» летней температуры.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Например, наступление/отступание ледников зависит от летней температуры (и зимних осадков); пыльца тоже характеризует весеннюю и летнюю температуру, древесные кольца — теплый период. В результате зимняя температура в целом представлена в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палеоданных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слабее, чем летняя.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Например, наступление/отступание ледников зависит от летней температуры (и зимних осадков); пыльца тоже характеризует весеннюю и летнюю температуру, древесные кольца — теплый период. В результате зимняя температура в целом представлена в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палеоданных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слабее, чем летняя.</w:t>
      </w:r>
    </w:p>
    <w:p w:rsidR="00D81AA9" w:rsidRPr="00D81AA9" w:rsidRDefault="00D81AA9" w:rsidP="00D81AA9">
      <w:pPr>
        <w:shd w:val="clear" w:color="auto" w:fill="F2F3F2"/>
        <w:spacing w:after="150" w:line="450" w:lineRule="atLeast"/>
        <w:textAlignment w:val="top"/>
        <w:outlineLvl w:val="3"/>
        <w:rPr>
          <w:rFonts w:ascii="Arial" w:eastAsia="Arial Unicode MS" w:hAnsi="Arial" w:cs="Arial"/>
          <w:b/>
          <w:bCs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b/>
          <w:bCs/>
          <w:sz w:val="28"/>
          <w:szCs w:val="28"/>
          <w:lang w:eastAsia="ru-RU"/>
        </w:rPr>
        <w:t>Дендрохронология и климат</w:t>
      </w:r>
    </w:p>
    <w:p w:rsidR="00D81AA9" w:rsidRPr="00D81AA9" w:rsidRDefault="00D81AA9" w:rsidP="00D81AA9">
      <w:pPr>
        <w:shd w:val="clear" w:color="auto" w:fill="F2F3F2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В статье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Латыниной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ставится вопрос о том, являются ли вообще кольца деревьев хорошими индикатором температуры? 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  <w:t>Это интересный вопрос, решение которого упирается в так называемый эффект «расхождения» (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divergence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). Как показывают исследования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дендрохронологов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>, начиная с 1960-х годов во многих бореальных районах наблюдается расхождение между рядами летней температуры и ширины колец и плотности деревьев. 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  <w:t>Очевидно, что произошла смена лимитирующего фактора роста: выдвигались гипотезы о роли засух, смены продолжительности сезонов, изменения снегонакопления, «глобального затемнения» (то есть влияния аэрозолей) и так далее. По-видимому, в различных регионах свою роль играет тот или иной новый фактор. 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br/>
        <w:t xml:space="preserve">Если этот фактор связан с антропогенной деятельностью, то до 1960-х годов кольца деревьев могут служить хорошими маркерами температурной изменчивости. Если фактор связан с высокой температурой, то кольца деревьев будут плохими индикаторами для теплых периодов и надо смотреть на другие виды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палеоданных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>.</w:t>
      </w: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t>Необходимо подчеркнуть: научная дискуссия по методикам и результатам ведется учеными постоянно. На любую статью приходится много ответов как в научных журналах, так и в научно-ориентированных блогах. Методы осреднения совершенствуются, появляются новые (с использованием тех или иных изотопов), наука не стоит на месте.</w:t>
      </w: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t xml:space="preserve">Среди ученых-климатологов отношение к Майклу Манну вполне обыкновенное, как к любому другому коллеге по цеху. Основные выводы из </w:t>
      </w:r>
      <w:r w:rsidRPr="00A03118">
        <w:rPr>
          <w:rFonts w:ascii="Arial" w:eastAsia="Arial Unicode MS" w:hAnsi="Arial" w:cs="Arial"/>
          <w:color w:val="303238"/>
          <w:sz w:val="28"/>
          <w:szCs w:val="28"/>
        </w:rPr>
        <w:lastRenderedPageBreak/>
        <w:t>его статьи 1998 года в целом подтвердились более поздними реконструкциями, как самим Манном, так и другими авторами.</w:t>
      </w: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t xml:space="preserve">История «противостояния» Манна и 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</w:rPr>
        <w:t>Макинтайра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</w:rPr>
        <w:t>/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</w:rPr>
        <w:t>Маккитрика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</w:rPr>
        <w:t xml:space="preserve">, красочно описанная в статье 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</w:rPr>
        <w:t>Латыниной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</w:rPr>
        <w:t xml:space="preserve">, выбивается из рамок обычного развития научных знаний в основном за счет эксцентричных действий 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</w:rPr>
        <w:t>Макинтайра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</w:rPr>
        <w:t xml:space="preserve"> и 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</w:rPr>
        <w:t>Маккитрика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</w:rPr>
        <w:t>.</w:t>
      </w: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t>С точки зрения научной этики и развития науки скорее их действия выглядят в негативном свете. Они не ставили целью улучшить наши знания, выдвинуть новую теорию или опровергнуть старую. Напротив, цель их статей и записей в блогах (и сделанных </w:t>
      </w:r>
      <w:hyperlink r:id="rId36" w:tgtFrame="_blank" w:history="1">
        <w:r w:rsidRPr="00A03118">
          <w:rPr>
            <w:rStyle w:val="a3"/>
            <w:rFonts w:ascii="Arial" w:eastAsia="Arial Unicode MS" w:hAnsi="Arial" w:cs="Arial"/>
            <w:color w:val="FF601A"/>
            <w:sz w:val="28"/>
            <w:szCs w:val="28"/>
          </w:rPr>
          <w:t>в 2005 году</w:t>
        </w:r>
      </w:hyperlink>
      <w:r w:rsidRPr="00A03118">
        <w:rPr>
          <w:rFonts w:ascii="Arial" w:eastAsia="Arial Unicode MS" w:hAnsi="Arial" w:cs="Arial"/>
          <w:color w:val="303238"/>
          <w:sz w:val="28"/>
          <w:szCs w:val="28"/>
        </w:rPr>
        <w:t>, и более ранних </w:t>
      </w:r>
      <w:hyperlink r:id="rId37" w:tgtFrame="_blank" w:history="1">
        <w:r w:rsidRPr="00A03118">
          <w:rPr>
            <w:rStyle w:val="a3"/>
            <w:rFonts w:ascii="Arial" w:eastAsia="Arial Unicode MS" w:hAnsi="Arial" w:cs="Arial"/>
            <w:color w:val="FF601A"/>
            <w:sz w:val="28"/>
            <w:szCs w:val="28"/>
          </w:rPr>
          <w:t>записей</w:t>
        </w:r>
      </w:hyperlink>
      <w:r w:rsidRPr="00A03118">
        <w:rPr>
          <w:rFonts w:ascii="Arial" w:eastAsia="Arial Unicode MS" w:hAnsi="Arial" w:cs="Arial"/>
          <w:color w:val="303238"/>
          <w:sz w:val="28"/>
          <w:szCs w:val="28"/>
        </w:rPr>
        <w:t>, вышедших в научно-популярных изданиях) заключалась скорее в том, чтобы подорвать доверие к науке.</w:t>
      </w: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t xml:space="preserve">Кроме того, совершенно неясно, на основании чего в статье 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</w:rPr>
        <w:t>Латыниной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</w:rPr>
        <w:t xml:space="preserve"> говорится о том, что Манн отказывается предоставить компьютерный код, с помощью которого он рассчитывал свою «клюшку». Это не соответствует действительности — компьютерный код, использованный для работы над статьей 1998 года, </w:t>
      </w:r>
      <w:hyperlink r:id="rId38" w:tgtFrame="_blank" w:history="1">
        <w:r w:rsidRPr="00A03118">
          <w:rPr>
            <w:rStyle w:val="a3"/>
            <w:rFonts w:ascii="Arial" w:eastAsia="Arial Unicode MS" w:hAnsi="Arial" w:cs="Arial"/>
            <w:color w:val="FF601A"/>
            <w:sz w:val="28"/>
            <w:szCs w:val="28"/>
          </w:rPr>
          <w:t>лежит в открытом доступе</w:t>
        </w:r>
      </w:hyperlink>
      <w:r w:rsidRPr="00A03118">
        <w:rPr>
          <w:rFonts w:ascii="Arial" w:eastAsia="Arial Unicode MS" w:hAnsi="Arial" w:cs="Arial"/>
          <w:color w:val="303238"/>
          <w:sz w:val="28"/>
          <w:szCs w:val="28"/>
        </w:rPr>
        <w:t>.</w:t>
      </w:r>
    </w:p>
    <w:p w:rsidR="008003D2" w:rsidRPr="00957BC7" w:rsidRDefault="008003D2" w:rsidP="008003D2">
      <w:pPr>
        <w:pStyle w:val="3"/>
        <w:shd w:val="clear" w:color="auto" w:fill="FFFFFF"/>
        <w:spacing w:before="0" w:beforeAutospacing="0" w:after="300" w:afterAutospacing="0" w:line="540" w:lineRule="atLeast"/>
        <w:rPr>
          <w:rFonts w:ascii="Arial" w:eastAsia="Arial Unicode MS" w:hAnsi="Arial" w:cs="Arial"/>
          <w:bCs w:val="0"/>
          <w:color w:val="303238"/>
          <w:sz w:val="28"/>
          <w:szCs w:val="28"/>
        </w:rPr>
      </w:pPr>
      <w:r w:rsidRPr="00957BC7">
        <w:rPr>
          <w:rFonts w:ascii="Arial" w:eastAsia="Arial Unicode MS" w:hAnsi="Arial" w:cs="Arial"/>
          <w:bCs w:val="0"/>
          <w:color w:val="303238"/>
          <w:sz w:val="28"/>
          <w:szCs w:val="28"/>
        </w:rPr>
        <w:t>Физика климата</w:t>
      </w: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t>Теперь пришла пора отбросить ложную посылку о «хоккейной клюшке» как «иконе» климатологии. График Манна ничего не должен был доказывать, не был никакой иконой и уж точно не лежал в основе науки об изменениях климата. Как и в случае с любой другой наукой, климатология базируется не на графиках, а на изучении законов природы — в первую очередь законов гидро- и термодинамики.</w:t>
      </w: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t>Именно на основании этих законов и была выдвинута теория об антропогенной причине современных изменений климата. Основные доказательства этой теории были получены уже к концу 1970-х годов и в дальнейшем только уточнялись. На данный момент они могут быть сформулированы в следующем виде:</w:t>
      </w:r>
    </w:p>
    <w:p w:rsidR="008003D2" w:rsidRPr="00A03118" w:rsidRDefault="008003D2" w:rsidP="008003D2">
      <w:pPr>
        <w:rPr>
          <w:rFonts w:ascii="Arial" w:eastAsia="Arial Unicode MS" w:hAnsi="Arial" w:cs="Arial"/>
          <w:sz w:val="28"/>
          <w:szCs w:val="28"/>
        </w:rPr>
      </w:pP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b/>
          <w:bCs/>
          <w:color w:val="303238"/>
          <w:sz w:val="28"/>
          <w:szCs w:val="28"/>
        </w:rPr>
        <w:t>А. Углекислый газ в атмосфере: его свойства, быстрый рост, атрибуция роста</w:t>
      </w: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t>То, что Земля, исходя из радиационного равновесия (с учетом расстояния до Солнца и величины приходящей от него энергии) должна иметь гораздо меньшую температуру воздуха, чем она имеет на самом деле, </w:t>
      </w:r>
      <w:hyperlink r:id="rId39" w:tgtFrame="_blank" w:history="1">
        <w:r w:rsidRPr="00A03118">
          <w:rPr>
            <w:rStyle w:val="a3"/>
            <w:rFonts w:ascii="Arial" w:eastAsia="Arial Unicode MS" w:hAnsi="Arial" w:cs="Arial"/>
            <w:color w:val="FF601A"/>
            <w:sz w:val="28"/>
            <w:szCs w:val="28"/>
          </w:rPr>
          <w:t>предположил</w:t>
        </w:r>
      </w:hyperlink>
      <w:r w:rsidRPr="00A03118">
        <w:rPr>
          <w:rFonts w:ascii="Arial" w:eastAsia="Arial Unicode MS" w:hAnsi="Arial" w:cs="Arial"/>
          <w:color w:val="303238"/>
          <w:sz w:val="28"/>
          <w:szCs w:val="28"/>
        </w:rPr>
        <w:t> еще Джозеф Фурье в начале XIX века.</w:t>
      </w: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lastRenderedPageBreak/>
        <w:t xml:space="preserve">Разницу (она составляет около 33 градусов Цельсия) Фурье списал на отепляющее воздействие атмосферы, которое 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</w:rPr>
        <w:t>переизлучает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</w:rPr>
        <w:t xml:space="preserve"> к Земле </w:t>
      </w:r>
      <w:proofErr w:type="spellStart"/>
      <w:r w:rsidRPr="00A03118">
        <w:rPr>
          <w:rFonts w:ascii="Arial" w:eastAsia="Arial Unicode MS" w:hAnsi="Arial" w:cs="Arial"/>
          <w:i/>
          <w:iCs/>
          <w:color w:val="303238"/>
          <w:sz w:val="28"/>
          <w:szCs w:val="28"/>
        </w:rPr>
        <w:t>chaleur</w:t>
      </w:r>
      <w:proofErr w:type="spellEnd"/>
      <w:r w:rsidRPr="00A03118">
        <w:rPr>
          <w:rFonts w:ascii="Arial" w:eastAsia="Arial Unicode MS" w:hAnsi="Arial" w:cs="Arial"/>
          <w:i/>
          <w:iCs/>
          <w:color w:val="303238"/>
          <w:sz w:val="28"/>
          <w:szCs w:val="28"/>
        </w:rPr>
        <w:t xml:space="preserve"> </w:t>
      </w:r>
      <w:proofErr w:type="spellStart"/>
      <w:r w:rsidRPr="00A03118">
        <w:rPr>
          <w:rFonts w:ascii="Arial" w:eastAsia="Arial Unicode MS" w:hAnsi="Arial" w:cs="Arial"/>
          <w:i/>
          <w:iCs/>
          <w:color w:val="303238"/>
          <w:sz w:val="28"/>
          <w:szCs w:val="28"/>
        </w:rPr>
        <w:t>obscure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</w:rPr>
        <w:t> («невидимое тепло» — то есть длинноволновое излучение).</w:t>
      </w:r>
    </w:p>
    <w:p w:rsidR="008003D2" w:rsidRPr="00A03118" w:rsidRDefault="008003D2" w:rsidP="008003D2">
      <w:pPr>
        <w:pStyle w:val="a4"/>
        <w:shd w:val="clear" w:color="auto" w:fill="FFFFFF"/>
        <w:spacing w:before="0" w:beforeAutospacing="0" w:after="225" w:afterAutospacing="0"/>
        <w:rPr>
          <w:rFonts w:ascii="Arial" w:eastAsia="Arial Unicode MS" w:hAnsi="Arial" w:cs="Arial"/>
          <w:color w:val="303238"/>
          <w:sz w:val="28"/>
          <w:szCs w:val="28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</w:rPr>
        <w:t xml:space="preserve">В середине XIX века Джон 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</w:rPr>
        <w:t>Тиндал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</w:rPr>
        <w:t> </w:t>
      </w:r>
      <w:hyperlink r:id="rId40" w:tgtFrame="_blank" w:history="1">
        <w:r w:rsidRPr="00A03118">
          <w:rPr>
            <w:rStyle w:val="a3"/>
            <w:rFonts w:ascii="Arial" w:eastAsia="Arial Unicode MS" w:hAnsi="Arial" w:cs="Arial"/>
            <w:color w:val="FF601A"/>
            <w:sz w:val="28"/>
            <w:szCs w:val="28"/>
          </w:rPr>
          <w:t>определил</w:t>
        </w:r>
      </w:hyperlink>
      <w:r w:rsidRPr="00A03118">
        <w:rPr>
          <w:rFonts w:ascii="Arial" w:eastAsia="Arial Unicode MS" w:hAnsi="Arial" w:cs="Arial"/>
          <w:color w:val="303238"/>
          <w:sz w:val="28"/>
          <w:szCs w:val="28"/>
        </w:rPr>
        <w:t>, что ответственными за это отепляющее воздействие являются, в первую очередь, водяной пар, углекислый газ и метан.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33F97CDB" wp14:editId="0537A6C4">
            <wp:extent cx="5005137" cy="3097530"/>
            <wp:effectExtent l="0" t="0" r="5080" b="7620"/>
            <wp:docPr id="16" name="Рисунок 16" descr="https://nplus1.ru/images/2020/01/23/49a71a80ae799708a2261b208262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plus1.ru/images/2020/01/23/49a71a80ae799708a2261b208262572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23" cy="31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Поглощение коротковолновой (красный цвет) и длинноволновой (синий цвет) радиации атмосферой и отдельными газами на разных длинах волн. На верхнем рисунке сплошные линии показывают величину коротковолновой и длинноволновой радиации, которая бы приходила к Земле (для коротковолновой) и уходила в космос (для длинноволновой) без атмосферы.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Robert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 xml:space="preserve">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Rohde</w:t>
      </w:r>
      <w:proofErr w:type="spellEnd"/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D81AA9" w:rsidRPr="00D81AA9" w:rsidRDefault="008003D2" w:rsidP="00D81AA9">
      <w:pPr>
        <w:shd w:val="clear" w:color="auto" w:fill="FFFFFF"/>
        <w:spacing w:after="22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>С тех пор методы спектроскопии продвинулись существенно дальше, благодаря чему удалось определить основные полосы поглощения парниковых газов и даже </w:t>
      </w:r>
      <w:hyperlink r:id="rId42" w:tgtFrame="_blank" w:history="1">
        <w:r w:rsidRPr="00A03118">
          <w:rPr>
            <w:rStyle w:val="a3"/>
            <w:rFonts w:ascii="Arial" w:eastAsia="Arial Unicode MS" w:hAnsi="Arial" w:cs="Arial"/>
            <w:color w:val="FF601A"/>
            <w:sz w:val="28"/>
            <w:szCs w:val="28"/>
            <w:shd w:val="clear" w:color="auto" w:fill="FFFFFF"/>
          </w:rPr>
          <w:t>измерить количество</w:t>
        </w:r>
      </w:hyperlink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 xml:space="preserve"> приходящей энергии к поверхности Земли вследствие 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>переизлучения</w:t>
      </w:r>
      <w:proofErr w:type="spellEnd"/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 xml:space="preserve"> парниковыми </w:t>
      </w:r>
      <w:proofErr w:type="spellStart"/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>газами.</w:t>
      </w:r>
      <w:r w:rsidR="00D81AA9" w:rsidRPr="00D81AA9">
        <w:rPr>
          <w:rFonts w:ascii="Arial" w:eastAsia="Arial Unicode MS" w:hAnsi="Arial" w:cs="Arial"/>
          <w:sz w:val="28"/>
          <w:szCs w:val="28"/>
          <w:lang w:eastAsia="ru-RU"/>
        </w:rPr>
        <w:t>С</w:t>
      </w:r>
      <w:proofErr w:type="spellEnd"/>
      <w:r w:rsidR="00D81AA9"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тех пор методы спектроскопии продвинулись существенно дальше, благодаря чему удалось определить основные полосы поглощения парниковых газов и даже </w:t>
      </w:r>
      <w:hyperlink r:id="rId43" w:tgtFrame="_blank" w:history="1">
        <w:r w:rsidR="00D81AA9" w:rsidRPr="00A03118">
          <w:rPr>
            <w:rFonts w:ascii="Arial" w:eastAsia="Arial Unicode MS" w:hAnsi="Arial" w:cs="Arial"/>
            <w:sz w:val="28"/>
            <w:szCs w:val="28"/>
            <w:u w:val="single"/>
            <w:lang w:eastAsia="ru-RU"/>
          </w:rPr>
          <w:t>измерить количество</w:t>
        </w:r>
      </w:hyperlink>
      <w:r w:rsidR="00D81AA9"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 приходящей энергии к поверхности Земли вследствие </w:t>
      </w:r>
      <w:proofErr w:type="spellStart"/>
      <w:r w:rsidR="00D81AA9" w:rsidRPr="00D81AA9">
        <w:rPr>
          <w:rFonts w:ascii="Arial" w:eastAsia="Arial Unicode MS" w:hAnsi="Arial" w:cs="Arial"/>
          <w:sz w:val="28"/>
          <w:szCs w:val="28"/>
          <w:lang w:eastAsia="ru-RU"/>
        </w:rPr>
        <w:t>переизлучения</w:t>
      </w:r>
      <w:proofErr w:type="spellEnd"/>
      <w:r w:rsidR="00D81AA9"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парниковыми газами.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43057270" wp14:editId="4304063C">
            <wp:extent cx="5487877" cy="4128514"/>
            <wp:effectExtent l="0" t="0" r="0" b="5715"/>
            <wp:docPr id="15" name="Рисунок 15" descr="https://nplus1.ru/images/2020/01/23/70f0222ba5464e408a84be53b51fd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plus1.ru/images/2020/01/23/70f0222ba5464e408a84be53b51fd69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78" cy="41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Наблюдаемое радиационное воздействие на поверхности Земли (красный цвет — интегральное значение для волновых чисел 520–1800 см</w:t>
      </w:r>
      <w:r w:rsidRPr="00D81AA9">
        <w:rPr>
          <w:rFonts w:ascii="Arial" w:eastAsia="Arial Unicode MS" w:hAnsi="Arial" w:cs="Arial"/>
          <w:sz w:val="28"/>
          <w:szCs w:val="28"/>
          <w:vertAlign w:val="superscript"/>
          <w:lang w:eastAsia="ru-RU"/>
        </w:rPr>
        <w:t>-1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t>), обусловленное ростом концентрации СО</w:t>
      </w:r>
      <w:r w:rsidRPr="00D81AA9">
        <w:rPr>
          <w:rFonts w:ascii="Arial" w:eastAsia="Arial Unicode MS" w:hAnsi="Arial" w:cs="Arial"/>
          <w:sz w:val="28"/>
          <w:szCs w:val="28"/>
          <w:vertAlign w:val="subscript"/>
          <w:lang w:eastAsia="ru-RU"/>
        </w:rPr>
        <w:t>2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(серый цвет)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>D. R. Feldman et al. / Nature, 2015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Здесь стоит отметить, что само сравнение с парником (появилось в начале ХХ века благодаря Нильсу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Экхольму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) не стоит принимать буквально: в реальном парнике тепло задерживается в первую очередь за счет «запирания» конвекции.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Парниковый эффект атмосферы действует на другой процесс теплопередачи — на электромагнитное излучение: атмосфера практически прозрачна для коротковолнового излучения от Солнца, но при этом задерживает часть длинноволнового излучения от поверхности Земли (за счет дипольного момента у парниковых газов при вращательных и колебательных переходах).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В результате сама атмосфера (а точнее, нижний ее слой — тропосфера — высотой примерно 5–7 километров) становится источником излучения и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переизлучает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длинноволновую радиацию обратно к поверхности Земли и в космос. Поскольку с высотой температура воздуха в тропосфере убывает, в космос излучается меньшее количество радиации, чем уходило бы при отсутствии атмосферы.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 xml:space="preserve">Первые оценки теплового баланса поверхности Земли были сделаны Михаилом Ивановичем Будыко в 1956 году. На сегодняшний день на основе нескольких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долгопериодных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спутниковых и наземных наблюдений </w:t>
      </w:r>
      <w:hyperlink r:id="rId45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определены</w:t>
        </w:r>
      </w:hyperlink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основные значения глобально-осредненных радиационных и тепловых потоков в земной климатической системе.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Правда, некоторые элементы определены в достаточно широком диапазоне (например, потоки явного и скрытого тепла от поверхности). Их уточнение — важная задача климатологии на ближайшие годы.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0C6FF395" wp14:editId="3DE04F0E">
            <wp:extent cx="6209731" cy="4448582"/>
            <wp:effectExtent l="0" t="0" r="635" b="9525"/>
            <wp:docPr id="14" name="Рисунок 14" descr="https://nplus1.ru/images/2020/01/23/4122401fc606ee1b5dde20990e8a6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plus1.ru/images/2020/01/23/4122401fc606ee1b5dde20990e8a636c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05" cy="445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Схема глобального радиационного баланса земной климатической системы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 xml:space="preserve">Александр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Чернокульский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 xml:space="preserve"> / Наука и жизнь, 2017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Впрочем, важен переход от статической картины (неизменный парниковый эффект) к динамической. Осуществить его удалось в середине ХХ века благодаря запущенной в 1956 году станции по мониторингу за содержанием углекислого газа в атмосфере на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Мауна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-Лоа (Гавайи), основанной под руководством Чарльза Дэвида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Килинга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Поскольку СО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bscript"/>
          <w:lang w:eastAsia="ru-RU"/>
        </w:rPr>
        <w:t>2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— хорошо перемешанный газ, измерения в одной фоновой точке </w:t>
      </w:r>
      <w:hyperlink r:id="rId47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могут дать</w:t>
        </w:r>
      </w:hyperlink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достаточно точное представление о его глобальной концентрации. Полученные этой станцией данные позволили, например, изучить годовой ход концентрации СО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bscript"/>
          <w:lang w:eastAsia="ru-RU"/>
        </w:rPr>
        <w:t>2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 и зафиксировать весенний минимум 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>и осенний максимум, связанные с дыханием/фотосинтезом бореальных лесов.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Но главное — многолетние измерения, проводимые по одной и той же методике, выявили серьезный рост концентрации углекислого газа с течением времени: начиная с 315 частей на миллион в 1958 году и заканчивая 415 частями в 2019-м (начавшиеся позже наблюдения на других станциях подтвердили эту тенденцию).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Дополненные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впоследствие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данными о составе воздухе, полученными на основе анализа пузырьков воздуха из </w:t>
      </w:r>
      <w:hyperlink r:id="rId48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ледниковых кернов Антарктиды</w:t>
        </w:r>
      </w:hyperlink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эти измерения позволили установить, что за прошедший миллион лет концентрация СО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bscript"/>
          <w:lang w:eastAsia="ru-RU"/>
        </w:rPr>
        <w:t>2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в атмосфере Земли никогда еще не была такой высокой.</w:t>
      </w:r>
    </w:p>
    <w:p w:rsidR="00D81AA9" w:rsidRPr="00D81AA9" w:rsidRDefault="00D81AA9" w:rsidP="00D81AA9">
      <w:pPr>
        <w:shd w:val="clear" w:color="auto" w:fill="FFFFFF"/>
        <w:spacing w:after="22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Но главное — многолетние измерения, проводимые по одной и той же методике, выявили серьезный рост концентрации углекислого газа с течением времени: начиная с 315 частей на миллион в 1958 году и заканчивая 415 частями в 2019-м (начавшиеся позже наблюдения на других станциях подтвердили эту тенденцию).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6145A134" wp14:editId="47462EEB">
            <wp:extent cx="3146759" cy="1886754"/>
            <wp:effectExtent l="0" t="0" r="0" b="0"/>
            <wp:docPr id="13" name="Рисунок 13" descr="https://nplus1.ru/images/2020/01/23/4b8b184523b8716a3eccf78457cca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plus1.ru/images/2020/01/23/4b8b184523b8716a3eccf78457cca65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41" cy="18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Изменение концентрации СО</w:t>
      </w:r>
      <w:r w:rsidRPr="00D81AA9">
        <w:rPr>
          <w:rFonts w:ascii="Arial" w:eastAsia="Arial Unicode MS" w:hAnsi="Arial" w:cs="Arial"/>
          <w:sz w:val="28"/>
          <w:szCs w:val="28"/>
          <w:vertAlign w:val="subscript"/>
          <w:lang w:eastAsia="ru-RU"/>
        </w:rPr>
        <w:t>2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 по данным наблюдений на станции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Мауна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>-Лоа с 1958 по 2020 год                                   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>Scripps Institution of Oceanography at UC San Diego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Следующий шаг, сделанный наукой, — выяснение причин наблюдаемого роста СО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bscript"/>
          <w:lang w:eastAsia="ru-RU"/>
        </w:rPr>
        <w:t>2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. В середине 1950-х годов </w:t>
      </w:r>
      <w:proofErr w:type="spellStart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Ханс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Зюсс открыл изменение изотопного состава углекислого газа, а именно — изменение во времени соотношения изотопов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12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С,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13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 и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14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Дело в том, что деревья в процессе фотосинтеза </w:t>
      </w:r>
      <w:hyperlink r:id="rId50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«</w:t>
        </w:r>
        <w:proofErr w:type="spellStart"/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предпочитают»</w:t>
        </w:r>
      </w:hyperlink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фиксировать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более легкий изотоп углерода —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12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С. Поэтому в ископаемом топливе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13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 и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14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 содержатся в меньших пропорциях, чем в остальных оболочках климатической системы, — особенно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14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С, содержание которого в ископаемом топливе близко к нулю (время полураспада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14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 составляет 5700 лет).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>Так называемый </w:t>
      </w:r>
      <w:hyperlink r:id="rId51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«эффект Зюсса»</w:t>
        </w:r>
      </w:hyperlink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состоит в уменьшении соотношения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14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С/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12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С, которое было отмечено для первой половины ХХ века. Правда, испытания ядерного оружия в 1960-х годах привело к резкому повышению содержания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14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 в атмосфере (в обычных условиях этот изотоп образуется в верхних слоях атмосферы под действием космических лучей), что сделало невозможным дальнейшее использование этого соотношения.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Сейчас ученые </w:t>
      </w:r>
      <w:hyperlink r:id="rId52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смотрят</w:t>
        </w:r>
      </w:hyperlink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на соотношение 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13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С/</w:t>
      </w:r>
      <w:r w:rsidRPr="008003D2">
        <w:rPr>
          <w:rFonts w:ascii="Arial" w:eastAsia="Arial Unicode MS" w:hAnsi="Arial" w:cs="Arial"/>
          <w:color w:val="303238"/>
          <w:sz w:val="28"/>
          <w:szCs w:val="28"/>
          <w:vertAlign w:val="superscript"/>
          <w:lang w:eastAsia="ru-RU"/>
        </w:rPr>
        <w:t>12</w:t>
      </w: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 в углекислом газе атмосферы и фиксируют уменьшение величины этого соотношения, уверенно связывая это со сжиганием ископаемого топлива.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6A82BDD8" wp14:editId="34B9E475">
            <wp:extent cx="4585184" cy="2749216"/>
            <wp:effectExtent l="0" t="0" r="6350" b="0"/>
            <wp:docPr id="12" name="Рисунок 12" descr="https://nplus1.ru/images/2020/01/23/6aab9316fcb5038794c4a38d1ab11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plus1.ru/images/2020/01/23/6aab9316fcb5038794c4a38d1ab11d6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99" cy="275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Компиляция изменений концентрации СО</w:t>
      </w:r>
      <w:r w:rsidRPr="00D81AA9">
        <w:rPr>
          <w:rFonts w:ascii="Arial" w:eastAsia="Arial Unicode MS" w:hAnsi="Arial" w:cs="Arial"/>
          <w:sz w:val="28"/>
          <w:szCs w:val="28"/>
          <w:vertAlign w:val="subscript"/>
          <w:lang w:eastAsia="ru-RU"/>
        </w:rPr>
        <w:t>2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 по данным наблюдений на станции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Мауна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>-Лоа с 1958 по 2020 год и по данным реконструкций на основе ледниковых кернов за последние 800 тысяч лет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>Scripps Institution of Oceanography at UC San Diego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5A7E1FF0" wp14:editId="339C264F">
            <wp:extent cx="5300980" cy="3189515"/>
            <wp:effectExtent l="0" t="0" r="0" b="0"/>
            <wp:docPr id="11" name="Рисунок 11" descr="https://nplus1.ru/images/2020/01/23/6384f38d4065263b32ca2a6e8a608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plus1.ru/images/2020/01/23/6384f38d4065263b32ca2a6e8a60814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54" cy="31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lastRenderedPageBreak/>
        <w:t>ежгодовые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изменения антропогенных эмиссий СО</w:t>
      </w:r>
      <w:r w:rsidRPr="00D81AA9">
        <w:rPr>
          <w:rFonts w:ascii="Arial" w:eastAsia="Arial Unicode MS" w:hAnsi="Arial" w:cs="Arial"/>
          <w:sz w:val="28"/>
          <w:szCs w:val="28"/>
          <w:vertAlign w:val="subscript"/>
          <w:lang w:eastAsia="ru-RU"/>
        </w:rPr>
        <w:t>2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(верхний рисунок), изменение концентрации СО</w:t>
      </w:r>
      <w:r w:rsidRPr="00D81AA9">
        <w:rPr>
          <w:rFonts w:ascii="Arial" w:eastAsia="Arial Unicode MS" w:hAnsi="Arial" w:cs="Arial"/>
          <w:sz w:val="28"/>
          <w:szCs w:val="28"/>
          <w:vertAlign w:val="subscript"/>
          <w:lang w:eastAsia="ru-RU"/>
        </w:rPr>
        <w:t>2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в атмосфере и доли изотопа </w:t>
      </w:r>
      <w:r w:rsidRPr="00D81AA9">
        <w:rPr>
          <w:rFonts w:ascii="Arial" w:eastAsia="Arial Unicode MS" w:hAnsi="Arial" w:cs="Arial"/>
          <w:sz w:val="28"/>
          <w:szCs w:val="28"/>
          <w:vertAlign w:val="superscript"/>
          <w:lang w:eastAsia="ru-RU"/>
        </w:rPr>
        <w:t>13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t>С (средний рисунок) в углекислом газе в атмосфере, изменение доли изотопа </w:t>
      </w:r>
      <w:r w:rsidRPr="00D81AA9">
        <w:rPr>
          <w:rFonts w:ascii="Arial" w:eastAsia="Arial Unicode MS" w:hAnsi="Arial" w:cs="Arial"/>
          <w:sz w:val="28"/>
          <w:szCs w:val="28"/>
          <w:vertAlign w:val="superscript"/>
          <w:lang w:eastAsia="ru-RU"/>
        </w:rPr>
        <w:t>14</w:t>
      </w:r>
      <w:r w:rsidRPr="00D81AA9">
        <w:rPr>
          <w:rFonts w:ascii="Arial" w:eastAsia="Arial Unicode MS" w:hAnsi="Arial" w:cs="Arial"/>
          <w:sz w:val="28"/>
          <w:szCs w:val="28"/>
          <w:lang w:eastAsia="ru-RU"/>
        </w:rPr>
        <w:t>С в углекислом газе в атмосфере (нижний рисунок)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World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 xml:space="preserve">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metrological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 xml:space="preserve">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organization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, 2019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Кроме того, сегодня с помощью различных методов (камерные методы, методы турбулентных пульсаций, спутниковые наблюдения и так далее) получены достаточно точные оценки по содержанию углерода в различных оболочках климатической системы, а также оценки потоков углерода между этими оболочками.</w:t>
      </w:r>
    </w:p>
    <w:p w:rsidR="008003D2" w:rsidRPr="008003D2" w:rsidRDefault="008003D2" w:rsidP="008003D2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Получены и оценки антропогенных потоков углерода от различных отраслей (промышленности, энергетики, сельского хозяйства и других). Все это позволило оценить параметры </w:t>
      </w:r>
      <w:hyperlink r:id="rId55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 xml:space="preserve">углеродного </w:t>
        </w:r>
        <w:proofErr w:type="spellStart"/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цикла</w:t>
        </w:r>
      </w:hyperlink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климатической</w:t>
      </w:r>
      <w:proofErr w:type="spellEnd"/>
      <w:r w:rsidRPr="008003D2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системы и также связать скорость роста углекислого газа с антропогенными эмиссиями.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087682AA" wp14:editId="457F5EB1">
            <wp:extent cx="6141261" cy="4740978"/>
            <wp:effectExtent l="0" t="0" r="0" b="2540"/>
            <wp:docPr id="10" name="Рисунок 10" descr="https://nplus1.ru/images/2020/01/23/0fda229215649380cdc0b60869f56c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plus1.ru/images/2020/01/23/0fda229215649380cdc0b60869f56c8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02" cy="47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Глобальный цикл углерода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А.В. Елисеев / Фундаментальная и прикладная климатология, 2017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3606EA" w:rsidRPr="003606EA" w:rsidRDefault="003606EA" w:rsidP="003606EA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3606EA">
        <w:rPr>
          <w:rFonts w:ascii="Arial" w:eastAsia="Arial Unicode MS" w:hAnsi="Arial" w:cs="Arial"/>
          <w:b/>
          <w:bCs/>
          <w:color w:val="303238"/>
          <w:sz w:val="28"/>
          <w:szCs w:val="28"/>
          <w:lang w:eastAsia="ru-RU"/>
        </w:rPr>
        <w:lastRenderedPageBreak/>
        <w:t>Б. Влияние усиления парникового эффекта на измеряемые величины в климатической системе</w:t>
      </w:r>
    </w:p>
    <w:p w:rsidR="003606EA" w:rsidRPr="003606EA" w:rsidRDefault="003606EA" w:rsidP="003606EA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Еще в конце XIX века </w:t>
      </w:r>
      <w:proofErr w:type="spellStart"/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Сванте</w:t>
      </w:r>
      <w:proofErr w:type="spellEnd"/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Аррениус с помощью упрощенной климатической модели впервые </w:t>
      </w:r>
      <w:hyperlink r:id="rId57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оценил</w:t>
        </w:r>
      </w:hyperlink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возможные изменения глобальной температуры вследствие гипотетического удвоения концентрации СО</w:t>
      </w:r>
      <w:r w:rsidRPr="003606EA">
        <w:rPr>
          <w:rFonts w:ascii="Arial" w:eastAsia="Arial Unicode MS" w:hAnsi="Arial" w:cs="Arial"/>
          <w:color w:val="303238"/>
          <w:sz w:val="28"/>
          <w:szCs w:val="28"/>
          <w:vertAlign w:val="subscript"/>
          <w:lang w:eastAsia="ru-RU"/>
        </w:rPr>
        <w:t>2</w:t>
      </w:r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. От возможного к реальному сделал шаг Гай </w:t>
      </w:r>
      <w:proofErr w:type="spellStart"/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Каллендар</w:t>
      </w:r>
      <w:proofErr w:type="spellEnd"/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который в 1938 году впервые предположил, что на Земле уже происходит потепление климата, связанное с антропогенными выбросами углекислого газа.</w:t>
      </w:r>
    </w:p>
    <w:p w:rsidR="003606EA" w:rsidRPr="003606EA" w:rsidRDefault="003606EA" w:rsidP="003606EA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В 1950-х годах Гилберт </w:t>
      </w:r>
      <w:proofErr w:type="spellStart"/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Пласс</w:t>
      </w:r>
      <w:proofErr w:type="spellEnd"/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впервые использовал компьютер для расчетов с моделью радиационного переноса и </w:t>
      </w:r>
      <w:hyperlink r:id="rId58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 xml:space="preserve">получил </w:t>
        </w:r>
        <w:proofErr w:type="spellStart"/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оценку</w:t>
        </w:r>
      </w:hyperlink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чувствительности</w:t>
      </w:r>
      <w:proofErr w:type="spellEnd"/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температуры воздуха к удвоению СО</w:t>
      </w:r>
      <w:r w:rsidRPr="003606EA">
        <w:rPr>
          <w:rFonts w:ascii="Arial" w:eastAsia="Arial Unicode MS" w:hAnsi="Arial" w:cs="Arial"/>
          <w:color w:val="303238"/>
          <w:sz w:val="28"/>
          <w:szCs w:val="28"/>
          <w:vertAlign w:val="subscript"/>
          <w:lang w:eastAsia="ru-RU"/>
        </w:rPr>
        <w:t>2</w:t>
      </w:r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около 3,5 градуса Цельсия.</w:t>
      </w:r>
    </w:p>
    <w:p w:rsidR="003606EA" w:rsidRPr="003606EA" w:rsidRDefault="003606EA" w:rsidP="003606EA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В 1970-х годах Михаил Будыко, применяя в климатологии понятие обратной связи, показал, что даже небольшие внешние воздействия могут за счет положительных обратных связей привести к довольно значительным изменениям.</w:t>
      </w:r>
    </w:p>
    <w:p w:rsidR="003606EA" w:rsidRPr="003606EA" w:rsidRDefault="003606EA" w:rsidP="003606EA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Например, усиление парникового эффекта за счет роста концентрации углекислого газа приводит к росту температуры воздуха, усилению испарения и росту влажности воздуха. Поскольку водяной пар — тоже парниковый газ, рост влажности ведет к дальнейшему усилению потепления.</w:t>
      </w:r>
    </w:p>
    <w:p w:rsidR="003606EA" w:rsidRPr="003606EA" w:rsidRDefault="003606EA" w:rsidP="003606EA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3606EA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Наука на данный момент хорошо знает вклад антропогенной деятельности в радиационный баланс — более того, определен вклад разных компонентов человеческой деятельности: вклад от изменения альбедо поверхности, вклад от аэрозолей (прямой и косвенный), вклад от парниковых газов.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42608936" wp14:editId="0C7CBF73">
            <wp:extent cx="5302250" cy="3200400"/>
            <wp:effectExtent l="0" t="0" r="0" b="0"/>
            <wp:docPr id="9" name="Рисунок 9" descr="https://nplus1.ru/images/2020/01/24/158ffe88faf0faeefc5a7c9fc8ce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plus1.ru/images/2020/01/24/158ffe88faf0faeefc5a7c9fc8ce994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Радиационное воздействие различных факторов в индустриальную эру, в ваттах на квадратный метр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Межправительственная группа экспертов по изменению климата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D85D1C" w:rsidRPr="00D85D1C" w:rsidRDefault="00D85D1C" w:rsidP="00D85D1C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Подчеркнем, что это гораздо более существенный вклад, чем влияние на радиационный баланс естественных факторов, отмечавшееся в первых двух тысячелетиях. Например, изменение солнечной активности не превышало по модулю 0,2 ватта на квадратный метр, воздействие от сильных извержений вулканов может достигать 5–10 </w:t>
      </w:r>
      <w:proofErr w:type="spellStart"/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ваттов</w:t>
      </w:r>
      <w:proofErr w:type="spellEnd"/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на квадратный метр, но оно очень кратковременно (1–2 года).</w:t>
      </w:r>
    </w:p>
    <w:p w:rsidR="00D85D1C" w:rsidRPr="00D85D1C" w:rsidRDefault="00D85D1C" w:rsidP="00D85D1C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В целом, наблюдаемые в последние десятилетия изменения в различных оболочках земной климатической системы соответствуют ожидаемым изменениям, обусловленным усилением парникового эффекта.</w:t>
      </w:r>
    </w:p>
    <w:p w:rsidR="00D85D1C" w:rsidRPr="00D85D1C" w:rsidRDefault="00D85D1C" w:rsidP="00D85D1C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Растет не только температура </w:t>
      </w:r>
      <w:hyperlink r:id="rId60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воздуха у поверхности</w:t>
        </w:r>
      </w:hyperlink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но также температура </w:t>
      </w:r>
      <w:hyperlink r:id="rId61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нижней тропосферы</w:t>
        </w:r>
      </w:hyperlink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температура воды в </w:t>
      </w:r>
      <w:hyperlink r:id="rId62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верхних слоях океана</w:t>
        </w:r>
      </w:hyperlink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 </w:t>
      </w:r>
      <w:hyperlink r:id="rId63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влажность воздуха</w:t>
        </w:r>
      </w:hyperlink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 </w:t>
      </w:r>
      <w:hyperlink r:id="rId64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уровень океана</w:t>
        </w:r>
      </w:hyperlink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. Из-за избыточного тепла сокращается </w:t>
      </w:r>
      <w:hyperlink r:id="rId65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площадь морского льда</w:t>
        </w:r>
      </w:hyperlink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площадь и масса </w:t>
      </w:r>
      <w:hyperlink r:id="rId66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горных</w:t>
        </w:r>
      </w:hyperlink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и </w:t>
      </w:r>
      <w:hyperlink r:id="rId67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покровных</w:t>
        </w:r>
      </w:hyperlink>
      <w:r w:rsidRPr="00D85D1C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ледников.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8C968A9" wp14:editId="51C0D29E">
            <wp:extent cx="6011520" cy="5835516"/>
            <wp:effectExtent l="0" t="0" r="8890" b="0"/>
            <wp:docPr id="8" name="Рисунок 8" descr="https://nplus1.ru/images/2020/01/23/e85419a58fef229aa29e0e4eb08d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plus1.ru/images/2020/01/23/e85419a58fef229aa29e0e4eb08d8660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15" cy="584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Изменения различных климатических параметров по данным наблюдений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МГЭИК, 2013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D81AA9" w:rsidRPr="00D81AA9" w:rsidRDefault="00D85D1C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>Из-за удерживания тепла в нижних слоях атмосферы верхние слои остывают — похолодание наблюдается в </w:t>
      </w:r>
      <w:hyperlink r:id="rId69" w:tgtFrame="_blank" w:history="1">
        <w:r w:rsidRPr="00A03118">
          <w:rPr>
            <w:rStyle w:val="a3"/>
            <w:rFonts w:ascii="Arial" w:eastAsia="Arial Unicode MS" w:hAnsi="Arial" w:cs="Arial"/>
            <w:color w:val="FF601A"/>
            <w:sz w:val="28"/>
            <w:szCs w:val="28"/>
            <w:shd w:val="clear" w:color="auto" w:fill="FFFFFF"/>
          </w:rPr>
          <w:t>стратосфере</w:t>
        </w:r>
      </w:hyperlink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> и </w:t>
      </w:r>
      <w:hyperlink r:id="rId70" w:tgtFrame="_blank" w:history="1">
        <w:r w:rsidRPr="00A03118">
          <w:rPr>
            <w:rStyle w:val="a3"/>
            <w:rFonts w:ascii="Arial" w:eastAsia="Arial Unicode MS" w:hAnsi="Arial" w:cs="Arial"/>
            <w:color w:val="FF601A"/>
            <w:sz w:val="28"/>
            <w:szCs w:val="28"/>
            <w:shd w:val="clear" w:color="auto" w:fill="FFFFFF"/>
          </w:rPr>
          <w:t>мезосфере</w:t>
        </w:r>
      </w:hyperlink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t xml:space="preserve">. Если бы современное потепление было вызвано увеличением солнечной активности, температура в тропосфере, стратосфере и мезосфере </w:t>
      </w:r>
      <w:r w:rsidRPr="00A0311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</w:rPr>
        <w:lastRenderedPageBreak/>
        <w:t>менялась бы однонаправленно.</w:t>
      </w:r>
      <w:r w:rsidR="00D81AA9"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6D5CCC37" wp14:editId="1C134B80">
            <wp:extent cx="5909310" cy="2579370"/>
            <wp:effectExtent l="0" t="0" r="0" b="0"/>
            <wp:docPr id="7" name="Рисунок 7" descr="https://nplus1.ru/images/2020/01/23/123daa932ae1be6b462ff8088a361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plus1.ru/images/2020/01/23/123daa932ae1be6b462ff8088a3616af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Межгодовые вариации (и скользящее среднее) зимней температуры в области мезопаузы по измерениям на Звенигородской научной станции Института физики атмосферы имени Обухова РАН в 1960–2015 годах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Мохов И.И. и др. / Известия РАН. Физика атмосферы и океана, 2017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0E0E0D" w:rsidRPr="000E0E0D" w:rsidRDefault="000E0E0D" w:rsidP="000E0E0D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E0E0D">
        <w:rPr>
          <w:rFonts w:ascii="Arial" w:eastAsia="Arial Unicode MS" w:hAnsi="Arial" w:cs="Arial"/>
          <w:b/>
          <w:bCs/>
          <w:color w:val="303238"/>
          <w:sz w:val="28"/>
          <w:szCs w:val="28"/>
          <w:lang w:eastAsia="ru-RU"/>
        </w:rPr>
        <w:t>В. Построение численных моделей климата и воспроизведение климата при учете внешних воздействий</w:t>
      </w:r>
    </w:p>
    <w:p w:rsidR="000E0E0D" w:rsidRPr="000E0E0D" w:rsidRDefault="000E0E0D" w:rsidP="000E0E0D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Развитая теория, подтвержденная наблюдениями, требует и еще одного подтверждения — успешными прогнозами.</w:t>
      </w:r>
    </w:p>
    <w:p w:rsidR="000E0E0D" w:rsidRPr="000E0E0D" w:rsidRDefault="000E0E0D" w:rsidP="000E0E0D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Сейчас ученые прогнозируют климат с помощью хорошо развитых </w:t>
      </w:r>
      <w:hyperlink r:id="rId72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численных моделей климата</w:t>
        </w:r>
      </w:hyperlink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(или более правильно — моделей Земной системы), в основе которых лежат гидродинамические модели общей циркуляции атмосферы и океана с подключенными блоками растительности, динамики ледовых щитов, блоками химической трансформации атмосферных примесей и так далее.</w:t>
      </w:r>
    </w:p>
    <w:p w:rsidR="000E0E0D" w:rsidRPr="000E0E0D" w:rsidRDefault="000E0E0D" w:rsidP="000E0E0D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Модели способны адекватно воспроизводить климатологию и изменчивость климатических параметров Земли. «Сердце» климатических моделей — модели общей циркуляции атмосферы — </w:t>
      </w:r>
      <w:hyperlink r:id="rId73" w:tgtFrame="_blank" w:history="1">
        <w:r w:rsidRPr="00A03118">
          <w:rPr>
            <w:rFonts w:ascii="Arial" w:eastAsia="Arial Unicode MS" w:hAnsi="Arial" w:cs="Arial"/>
            <w:color w:val="FF601A"/>
            <w:sz w:val="28"/>
            <w:szCs w:val="28"/>
            <w:u w:val="single"/>
            <w:lang w:eastAsia="ru-RU"/>
          </w:rPr>
          <w:t>доказали</w:t>
        </w:r>
      </w:hyperlink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свою прогностическую силу в прогнозировании погоды. Единственное, в прогнозе климата, в отличие от прогноза погоды, не учитываются начальные данные, а только граничные.</w:t>
      </w:r>
    </w:p>
    <w:p w:rsidR="000E0E0D" w:rsidRPr="000E0E0D" w:rsidRDefault="000E0E0D" w:rsidP="000E0E0D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 климатическими моделями проводятся как эксперименты на чувствительность (например, как изменится климат, если удвоить концентрацию СО</w:t>
      </w:r>
      <w:r w:rsidRPr="000E0E0D">
        <w:rPr>
          <w:rFonts w:ascii="Arial" w:eastAsia="Arial Unicode MS" w:hAnsi="Arial" w:cs="Arial"/>
          <w:color w:val="303238"/>
          <w:sz w:val="28"/>
          <w:szCs w:val="28"/>
          <w:vertAlign w:val="subscript"/>
          <w:lang w:eastAsia="ru-RU"/>
        </w:rPr>
        <w:t>2</w:t>
      </w:r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в атмосфере, или создать аналог аэрозольного экрана в стратосфере, или повысить солнечную активность и так далее), так и эксперименты по воспроизведению реального климата — прошлого или будущего.</w:t>
      </w:r>
    </w:p>
    <w:p w:rsidR="000E0E0D" w:rsidRPr="000E0E0D" w:rsidRDefault="000E0E0D" w:rsidP="000E0E0D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 xml:space="preserve">При этом для корректного воспроизведения необходимо знать граничные условия: для воспроизведения </w:t>
      </w:r>
      <w:proofErr w:type="spellStart"/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палеоклимата</w:t>
      </w:r>
      <w:proofErr w:type="spellEnd"/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, например, необходимо задать другие параметры орбиты (так называемые циклы </w:t>
      </w:r>
      <w:proofErr w:type="spellStart"/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Миланковича</w:t>
      </w:r>
      <w:proofErr w:type="spellEnd"/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), для воспроизведения климата XXI века важен экономический прогноз (как будет меняться концентрация СО</w:t>
      </w:r>
      <w:r w:rsidRPr="000E0E0D">
        <w:rPr>
          <w:rFonts w:ascii="Arial" w:eastAsia="Arial Unicode MS" w:hAnsi="Arial" w:cs="Arial"/>
          <w:color w:val="303238"/>
          <w:sz w:val="28"/>
          <w:szCs w:val="28"/>
          <w:vertAlign w:val="subscript"/>
          <w:lang w:eastAsia="ru-RU"/>
        </w:rPr>
        <w:t>2</w:t>
      </w:r>
      <w:r w:rsidRPr="000E0E0D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).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2B44282C" wp14:editId="70C5DC13">
            <wp:extent cx="4311073" cy="4450480"/>
            <wp:effectExtent l="0" t="0" r="0" b="7620"/>
            <wp:docPr id="6" name="Рисунок 6" descr="https://nplus1.ru/images/2020/01/23/47e0c6244be25480d0cccd099a88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plus1.ru/images/2020/01/23/47e0c6244be25480d0cccd099a88589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62" cy="445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Схема модели климата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Encyclopaedia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 xml:space="preserve">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Britannica</w:t>
      </w:r>
      <w:proofErr w:type="spellEnd"/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9F3BA4" w:rsidRPr="009F3BA4" w:rsidRDefault="009F3BA4" w:rsidP="009F3BA4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Прогресс моделей тесно связан с наращиванием вычислительной мощности компьютеров. Чем более точная берется модель и чем больше процессов воспроизводится в ней явно (а не </w:t>
      </w:r>
      <w:proofErr w:type="spellStart"/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параметризуется</w:t>
      </w:r>
      <w:proofErr w:type="spellEnd"/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то есть не записывается в некой упрощенной форме), тем больше требуется вычислительных мощностей для ее реализации.</w:t>
      </w:r>
    </w:p>
    <w:p w:rsidR="009F3BA4" w:rsidRPr="009F3BA4" w:rsidRDefault="009F3BA4" w:rsidP="009F3BA4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Сейчас глобальные климатические модели вышли на шаг в 5–10 километров, что позволяет в явной форме воспроизводить конвекцию. Всего в мире насчитываются десятки различных глобальных климатических моделей.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198B8AA" wp14:editId="0AF14407">
            <wp:extent cx="4700623" cy="2908000"/>
            <wp:effectExtent l="0" t="0" r="5080" b="6985"/>
            <wp:docPr id="5" name="Рисунок 5" descr="https://nplus1.ru/images/2020/01/23/e63735665aace64a563be636cebfac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plus1.ru/images/2020/01/23/e63735665aace64a563be636cebfac67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64" cy="291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Связь разрешения моделей с мощностью компьютеров и суперкомпьютеров</w:t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</w:pP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>Tapio</w:t>
      </w:r>
      <w:proofErr w:type="spellEnd"/>
      <w:r w:rsidRPr="00D81AA9">
        <w:rPr>
          <w:rFonts w:ascii="Arial" w:eastAsia="Arial Unicode MS" w:hAnsi="Arial" w:cs="Arial"/>
          <w:i/>
          <w:iCs/>
          <w:sz w:val="28"/>
          <w:szCs w:val="28"/>
          <w:lang w:val="en-US" w:eastAsia="ru-RU"/>
        </w:rPr>
        <w:t xml:space="preserve"> Schneider et al. / Nature Climate Change, 2017</w:t>
      </w:r>
    </w:p>
    <w:p w:rsidR="00957BC7" w:rsidRDefault="00957BC7" w:rsidP="00053A85">
      <w:pPr>
        <w:shd w:val="clear" w:color="auto" w:fill="FFFFFF"/>
        <w:spacing w:after="225" w:line="240" w:lineRule="auto"/>
        <w:rPr>
          <w:rFonts w:ascii="Arial" w:eastAsia="Arial Unicode MS" w:hAnsi="Arial" w:cs="Arial"/>
          <w:sz w:val="28"/>
          <w:szCs w:val="28"/>
          <w:lang w:eastAsia="ru-RU"/>
        </w:rPr>
      </w:pPr>
    </w:p>
    <w:p w:rsidR="00053A85" w:rsidRPr="009F3BA4" w:rsidRDefault="00D81AA9" w:rsidP="00053A85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 </w:t>
      </w:r>
      <w:r w:rsidR="00053A85"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Численные модели — развитый и необходимый инструмент для климатологов. Ведь планета у нас одна, лабораторный эксперимент на ней не поставишь. А вот численный — пожалуйста. Главное, чтобы модель была адекватная.</w:t>
      </w:r>
    </w:p>
    <w:p w:rsidR="00053A85" w:rsidRPr="00053A85" w:rsidRDefault="00053A85" w:rsidP="00053A85">
      <w:pPr>
        <w:shd w:val="clear" w:color="auto" w:fill="FFFFFF"/>
        <w:spacing w:after="0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Количество членов ансамбля (реконструкции и модели), показывающие аномально теплые и аномально холодные периоды в Северном и Южном полушариях и в обоих полушариях вместе. Внизу показаны изменения радиационного воздействия вулканов, солнца и парниковых газов.</w:t>
      </w:r>
      <w:r w:rsidRPr="00053A85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</w:t>
      </w:r>
    </w:p>
    <w:p w:rsidR="00053A85" w:rsidRPr="009F3BA4" w:rsidRDefault="00053A85" w:rsidP="00053A85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proofErr w:type="spellStart"/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роцессов</w:t>
      </w:r>
      <w:proofErr w:type="spellEnd"/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 xml:space="preserve"> воспроизводится в ней явно (а не </w:t>
      </w:r>
      <w:proofErr w:type="spellStart"/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параметризуется</w:t>
      </w:r>
      <w:proofErr w:type="spellEnd"/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, то есть не записывается в некой упрощенной форме), тем больше требуется вычислительных мощностей для ее реализации.</w:t>
      </w:r>
    </w:p>
    <w:p w:rsidR="009F3BA4" w:rsidRPr="009F3BA4" w:rsidRDefault="009F3BA4" w:rsidP="009F3BA4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 помощью моделей получено еще одно важное доказательство определяющей роли человека в современном потеплении: расчеты с учетом только естественной изменчивости не смогли воспроизвести рост температуры, а расчеты с учетом естественной изменчивости и антропогенного воздействия этот рост воспроизводят.</w:t>
      </w:r>
    </w:p>
    <w:p w:rsidR="009F3BA4" w:rsidRPr="009F3BA4" w:rsidRDefault="009F3BA4" w:rsidP="009F3BA4">
      <w:pPr>
        <w:shd w:val="clear" w:color="auto" w:fill="FFFFFF"/>
        <w:spacing w:after="7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color w:val="303238"/>
          <w:sz w:val="28"/>
          <w:szCs w:val="28"/>
          <w:lang w:eastAsia="ru-RU"/>
        </w:rPr>
        <w:lastRenderedPageBreak/>
        <w:drawing>
          <wp:inline distT="0" distB="0" distL="0" distR="0">
            <wp:extent cx="6055995" cy="3756557"/>
            <wp:effectExtent l="0" t="0" r="1905" b="0"/>
            <wp:docPr id="27" name="Рисунок 27" descr="https://nplus1.ru/images/2020/01/23/9a76df22c634efd73364bf4592e0f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nplus1.ru/images/2020/01/23/9a76df22c634efd73364bf4592e0f968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2" cy="37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A4" w:rsidRPr="009F3BA4" w:rsidRDefault="009F3BA4" w:rsidP="009F3BA4">
      <w:pPr>
        <w:shd w:val="clear" w:color="auto" w:fill="FFFFFF"/>
        <w:spacing w:after="0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Глобальная температура воздуха в градусах Цельсия по данным наблюдений (черная кривая) и рассчитанная по моделям с учетом только естественной изменчивости</w:t>
      </w:r>
    </w:p>
    <w:p w:rsidR="009F3BA4" w:rsidRPr="009F3BA4" w:rsidRDefault="009F3BA4" w:rsidP="009F3BA4">
      <w:pPr>
        <w:shd w:val="clear" w:color="auto" w:fill="FFFFFF"/>
        <w:spacing w:after="0" w:line="240" w:lineRule="auto"/>
        <w:rPr>
          <w:rFonts w:ascii="Arial" w:eastAsia="Arial Unicode MS" w:hAnsi="Arial" w:cs="Arial"/>
          <w:color w:val="FFFFFF"/>
          <w:sz w:val="28"/>
          <w:szCs w:val="28"/>
          <w:lang w:eastAsia="ru-RU"/>
        </w:rPr>
      </w:pPr>
      <w:r w:rsidRPr="009F3BA4">
        <w:rPr>
          <w:rFonts w:ascii="Arial" w:eastAsia="Arial Unicode MS" w:hAnsi="Arial" w:cs="Arial"/>
          <w:color w:val="FFFFFF"/>
          <w:sz w:val="28"/>
          <w:szCs w:val="28"/>
          <w:lang w:eastAsia="ru-RU"/>
        </w:rPr>
        <w:t>Поделиться</w:t>
      </w:r>
    </w:p>
    <w:p w:rsidR="009F3BA4" w:rsidRPr="009F3BA4" w:rsidRDefault="009F3BA4" w:rsidP="009F3BA4">
      <w:pPr>
        <w:shd w:val="clear" w:color="auto" w:fill="FFFFFF"/>
        <w:spacing w:after="0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 </w:t>
      </w:r>
    </w:p>
    <w:p w:rsidR="009F3BA4" w:rsidRPr="009F3BA4" w:rsidRDefault="009F3BA4" w:rsidP="009F3BA4">
      <w:pPr>
        <w:shd w:val="clear" w:color="auto" w:fill="FFFFFF"/>
        <w:spacing w:after="7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color w:val="303238"/>
          <w:sz w:val="28"/>
          <w:szCs w:val="28"/>
          <w:lang w:eastAsia="ru-RU"/>
        </w:rPr>
        <w:drawing>
          <wp:inline distT="0" distB="0" distL="0" distR="0">
            <wp:extent cx="6246927" cy="3924300"/>
            <wp:effectExtent l="0" t="0" r="1905" b="0"/>
            <wp:docPr id="26" name="Рисунок 26" descr="https://nplus1.ru/images/2020/01/23/ceddbcd9444afac723997a3ab4ed1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nplus1.ru/images/2020/01/23/ceddbcd9444afac723997a3ab4ed101c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81" cy="39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A4" w:rsidRPr="009F3BA4" w:rsidRDefault="009F3BA4" w:rsidP="009F3BA4">
      <w:pPr>
        <w:shd w:val="clear" w:color="auto" w:fill="FFFFFF"/>
        <w:spacing w:after="0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9F3BA4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>Глобальная температура воздуха в градусах Цельсия по данным наблюдений (черная кривая) и рассчитанная по моделям с учетом только антропогенных факторов</w:t>
      </w: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bookmarkStart w:id="0" w:name="_GoBack"/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drawing>
          <wp:inline distT="0" distB="0" distL="0" distR="0" wp14:anchorId="4E809863" wp14:editId="3662F957">
            <wp:extent cx="5909310" cy="3712210"/>
            <wp:effectExtent l="0" t="0" r="0" b="2540"/>
            <wp:docPr id="2" name="Рисунок 2" descr="https://nplus1.ru/images/2020/01/23/646eeaf2fcfd4f2801419e6dd86ec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plus1.ru/images/2020/01/23/646eeaf2fcfd4f2801419e6dd86ec9cd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1AA9" w:rsidRPr="00A03118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>Глобальная температура воздуха в градусах Цельсия по данным наблюдений (черная кривая) и рассчитанная по моделям с учетом с учетом и тех и тех факторов</w:t>
      </w:r>
    </w:p>
    <w:p w:rsidR="000A1858" w:rsidRDefault="000A1858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</w:p>
    <w:p w:rsidR="000A1858" w:rsidRPr="000A1858" w:rsidRDefault="000A1858" w:rsidP="000A1858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A1858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Но это ретроспективный прогноз (</w:t>
      </w:r>
      <w:proofErr w:type="spellStart"/>
      <w:r w:rsidRPr="000A1858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hindcast</w:t>
      </w:r>
      <w:proofErr w:type="spellEnd"/>
      <w:r w:rsidRPr="000A1858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): мы знали, как менялась температура и попробовали ее воспроизвести с подключением тех или иных факторов. А насколько хороши модели в прогнозировании?</w:t>
      </w:r>
    </w:p>
    <w:p w:rsidR="000A1858" w:rsidRPr="000A1858" w:rsidRDefault="000A1858" w:rsidP="000A1858">
      <w:pPr>
        <w:spacing w:after="0" w:line="240" w:lineRule="auto"/>
        <w:rPr>
          <w:rFonts w:ascii="Arial" w:eastAsia="Arial Unicode MS" w:hAnsi="Arial" w:cs="Arial"/>
          <w:sz w:val="28"/>
          <w:szCs w:val="28"/>
          <w:lang w:eastAsia="ru-RU"/>
        </w:rPr>
      </w:pPr>
      <w:r w:rsidRPr="000A1858">
        <w:rPr>
          <w:rFonts w:ascii="Arial" w:eastAsia="Arial Unicode MS" w:hAnsi="Arial" w:cs="Arial"/>
          <w:color w:val="303238"/>
          <w:sz w:val="28"/>
          <w:szCs w:val="28"/>
          <w:shd w:val="clear" w:color="auto" w:fill="FFFFFF"/>
          <w:lang w:eastAsia="ru-RU"/>
        </w:rPr>
        <w:t>Сейчас, спустя три-четыре десятка лет после появления первых прогнозов изменения глобальной температуры вследствие антропогенного усиления парникового эффекта, можно сравнить эти первые прогнозы с наблюдаемым изменением температуры. В целом, спрогнозированный рост температуры оправдывается.</w:t>
      </w:r>
    </w:p>
    <w:p w:rsidR="000A1858" w:rsidRPr="00A03118" w:rsidRDefault="000A1858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</w:p>
    <w:p w:rsidR="00D81AA9" w:rsidRPr="00D81AA9" w:rsidRDefault="00D81AA9" w:rsidP="00D81AA9">
      <w:pPr>
        <w:shd w:val="clear" w:color="auto" w:fill="FFFFFF"/>
        <w:spacing w:after="75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A03118">
        <w:rPr>
          <w:rFonts w:ascii="Arial" w:eastAsia="Arial Unicode MS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0E043D40" wp14:editId="53AE6E08">
            <wp:extent cx="6021238" cy="3716655"/>
            <wp:effectExtent l="0" t="0" r="0" b="0"/>
            <wp:docPr id="1" name="Рисунок 1" descr="https://nplus1.ru/images/2020/01/23/47f7ab3fb9d428e466769d33ecb1f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plus1.ru/images/2020/01/23/47f7ab3fb9d428e466769d33ecb1f357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58" cy="37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9" w:rsidRPr="00D81AA9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Сравнение температуры по данным наблюдений (черные кривые) и по прогнозам Будыко (1972 год, оранжевая кривая) и </w:t>
      </w:r>
      <w:proofErr w:type="spellStart"/>
      <w:r w:rsidRPr="00D81AA9">
        <w:rPr>
          <w:rFonts w:ascii="Arial" w:eastAsia="Arial Unicode MS" w:hAnsi="Arial" w:cs="Arial"/>
          <w:sz w:val="28"/>
          <w:szCs w:val="28"/>
          <w:lang w:eastAsia="ru-RU"/>
        </w:rPr>
        <w:t>Hansen</w:t>
      </w:r>
      <w:proofErr w:type="spellEnd"/>
      <w:r w:rsidRPr="00D81AA9">
        <w:rPr>
          <w:rFonts w:ascii="Arial" w:eastAsia="Arial Unicode MS" w:hAnsi="Arial" w:cs="Arial"/>
          <w:sz w:val="28"/>
          <w:szCs w:val="28"/>
          <w:lang w:eastAsia="ru-RU"/>
        </w:rPr>
        <w:t xml:space="preserve"> (1988, зеленая, синяя и красная кривые)</w:t>
      </w:r>
    </w:p>
    <w:p w:rsidR="00D81AA9" w:rsidRPr="00A03118" w:rsidRDefault="00D81AA9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 xml:space="preserve">Александр </w:t>
      </w:r>
      <w:proofErr w:type="spellStart"/>
      <w:r w:rsidRPr="00D81AA9">
        <w:rPr>
          <w:rFonts w:ascii="Arial" w:eastAsia="Arial Unicode MS" w:hAnsi="Arial" w:cs="Arial"/>
          <w:i/>
          <w:iCs/>
          <w:sz w:val="28"/>
          <w:szCs w:val="28"/>
          <w:lang w:eastAsia="ru-RU"/>
        </w:rPr>
        <w:t>Чернокульский</w:t>
      </w:r>
      <w:proofErr w:type="spellEnd"/>
    </w:p>
    <w:p w:rsidR="000A1858" w:rsidRPr="00A03118" w:rsidRDefault="000A1858" w:rsidP="00D81AA9">
      <w:pPr>
        <w:shd w:val="clear" w:color="auto" w:fill="FFFFFF"/>
        <w:spacing w:after="0" w:line="240" w:lineRule="auto"/>
        <w:textAlignment w:val="top"/>
        <w:rPr>
          <w:rFonts w:ascii="Arial" w:eastAsia="Arial Unicode MS" w:hAnsi="Arial" w:cs="Arial"/>
          <w:i/>
          <w:iCs/>
          <w:sz w:val="28"/>
          <w:szCs w:val="28"/>
          <w:lang w:eastAsia="ru-RU"/>
        </w:rPr>
      </w:pPr>
    </w:p>
    <w:p w:rsidR="000A1858" w:rsidRPr="000A1858" w:rsidRDefault="000A1858" w:rsidP="000A1858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A1858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Суммируя, важно отметить, что в основе теории современных изменений климата (да и вообще климатической изменчивости) лежит отнюдь не один график, а совокупность знаний: установленный факт наличия парникового эффекта, сведения о его величине, о концентрации парниковых газов и цикле углерода, документально установленный рост этой концентрации и усиление радиационного форсинга, изотопное доказательство влияния сжигания ископаемого топлива на рост концентрации парниковых газов.</w:t>
      </w:r>
    </w:p>
    <w:p w:rsidR="000A1858" w:rsidRPr="000A1858" w:rsidRDefault="000A1858" w:rsidP="000A1858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A1858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Наблюдаемое изменение различных климатических величин соответствует ожидаемому при усилении парникового эффекта: рост температуры в нижних слоях атмосферы и снижение — в верхних. Численные модели климата воспроизводят современное потепление только с учетом всех факторов (естественных и антропогенных), при этом прогнозы, сделанные более 30 лет назад с помощью этих моделей, оказываются успешными.</w:t>
      </w:r>
    </w:p>
    <w:p w:rsidR="000A1858" w:rsidRPr="000A1858" w:rsidRDefault="000A1858" w:rsidP="000A1858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A1858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Опираясь на изложенную выше научную базу, вооружившись историей вопроса и доказательствами, нетрудно понять, что не хвост виляет собакой (не график температурных изменений диктует подгонку теорий), а собака — хвостом (антропогенное усиление парникового эффекта ведет к изменению множества климатических величин, в том числе и температуры).</w:t>
      </w:r>
    </w:p>
    <w:p w:rsidR="000A1858" w:rsidRPr="000A1858" w:rsidRDefault="000A1858" w:rsidP="000A1858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A1858">
        <w:rPr>
          <w:rFonts w:ascii="Arial" w:eastAsia="Arial Unicode MS" w:hAnsi="Arial" w:cs="Arial"/>
          <w:color w:val="303238"/>
          <w:sz w:val="28"/>
          <w:szCs w:val="28"/>
          <w:lang w:eastAsia="ru-RU"/>
        </w:rPr>
        <w:lastRenderedPageBreak/>
        <w:t>Климатологи — не единственные, чьи выводы пытаются объявить продуктом заговора, результатом работы могущественных групп интересов, желающих заработать на опасениях общества. Есть люди, называющие ВИЧ изобретением фармацевтических компаний, есть те, кто считает, что войны и революции начинаются по желанию тайного мирового правительства.</w:t>
      </w:r>
    </w:p>
    <w:p w:rsidR="000A1858" w:rsidRPr="000A1858" w:rsidRDefault="000A1858" w:rsidP="000A1858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A1858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Такие объяснения всегда незамысловаты и, главное, оставляют место для оптимизма: побороть тайных заговорщиков, конечно же, проще, чем бездушные законы физики.</w:t>
      </w:r>
    </w:p>
    <w:p w:rsidR="000A1858" w:rsidRPr="000A1858" w:rsidRDefault="000A1858" w:rsidP="000A1858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A1858">
        <w:rPr>
          <w:rFonts w:ascii="Arial" w:eastAsia="Arial Unicode MS" w:hAnsi="Arial" w:cs="Arial"/>
          <w:color w:val="303238"/>
          <w:sz w:val="28"/>
          <w:szCs w:val="28"/>
          <w:lang w:eastAsia="ru-RU"/>
        </w:rPr>
        <w:t>Но физику не обманешь. Глобальное изменение климата происходит на наших глазах, природная среда становится все менее и менее привычной. И экономическая деятельность человечества существенно ускоряет и углубляет эти процессы. К сожалению, это не выдумка климатологов.</w:t>
      </w:r>
    </w:p>
    <w:p w:rsidR="000A1858" w:rsidRPr="000A1858" w:rsidRDefault="000A1858" w:rsidP="000A1858">
      <w:pPr>
        <w:shd w:val="clear" w:color="auto" w:fill="FFFFFF"/>
        <w:spacing w:after="225" w:line="240" w:lineRule="auto"/>
        <w:rPr>
          <w:rFonts w:ascii="Arial" w:eastAsia="Arial Unicode MS" w:hAnsi="Arial" w:cs="Arial"/>
          <w:color w:val="303238"/>
          <w:sz w:val="28"/>
          <w:szCs w:val="28"/>
          <w:lang w:eastAsia="ru-RU"/>
        </w:rPr>
      </w:pPr>
      <w:r w:rsidRPr="000A1858">
        <w:rPr>
          <w:rFonts w:ascii="Arial" w:eastAsia="Arial Unicode MS" w:hAnsi="Arial" w:cs="Arial"/>
          <w:i/>
          <w:iCs/>
          <w:color w:val="303238"/>
          <w:sz w:val="28"/>
          <w:szCs w:val="28"/>
          <w:lang w:eastAsia="ru-RU"/>
        </w:rPr>
        <w:t xml:space="preserve">Александр </w:t>
      </w:r>
      <w:proofErr w:type="spellStart"/>
      <w:r w:rsidRPr="000A1858">
        <w:rPr>
          <w:rFonts w:ascii="Arial" w:eastAsia="Arial Unicode MS" w:hAnsi="Arial" w:cs="Arial"/>
          <w:i/>
          <w:iCs/>
          <w:color w:val="303238"/>
          <w:sz w:val="28"/>
          <w:szCs w:val="28"/>
          <w:lang w:eastAsia="ru-RU"/>
        </w:rPr>
        <w:t>Чернокульский</w:t>
      </w:r>
      <w:proofErr w:type="spellEnd"/>
    </w:p>
    <w:sectPr w:rsidR="000A1858" w:rsidRPr="000A1858" w:rsidSect="006443F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C4F36"/>
    <w:multiLevelType w:val="multilevel"/>
    <w:tmpl w:val="406C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B5670"/>
    <w:multiLevelType w:val="multilevel"/>
    <w:tmpl w:val="9394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62E3B"/>
    <w:multiLevelType w:val="multilevel"/>
    <w:tmpl w:val="8F2A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2C12E1"/>
    <w:multiLevelType w:val="multilevel"/>
    <w:tmpl w:val="F1BA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B74B33"/>
    <w:multiLevelType w:val="multilevel"/>
    <w:tmpl w:val="4086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E262AA"/>
    <w:multiLevelType w:val="multilevel"/>
    <w:tmpl w:val="AAB2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EC4C3E"/>
    <w:multiLevelType w:val="multilevel"/>
    <w:tmpl w:val="78886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D931F8"/>
    <w:multiLevelType w:val="multilevel"/>
    <w:tmpl w:val="6FB0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D32F0F"/>
    <w:multiLevelType w:val="multilevel"/>
    <w:tmpl w:val="106C6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E53A27"/>
    <w:multiLevelType w:val="multilevel"/>
    <w:tmpl w:val="45CA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B81206"/>
    <w:multiLevelType w:val="multilevel"/>
    <w:tmpl w:val="28E2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897DA6"/>
    <w:multiLevelType w:val="multilevel"/>
    <w:tmpl w:val="500C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C06265"/>
    <w:multiLevelType w:val="multilevel"/>
    <w:tmpl w:val="2070A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F03E80"/>
    <w:multiLevelType w:val="multilevel"/>
    <w:tmpl w:val="F7C24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BA1D35"/>
    <w:multiLevelType w:val="multilevel"/>
    <w:tmpl w:val="5E08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5F4866"/>
    <w:multiLevelType w:val="multilevel"/>
    <w:tmpl w:val="78A03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AB4488"/>
    <w:multiLevelType w:val="multilevel"/>
    <w:tmpl w:val="A4B0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8C7955"/>
    <w:multiLevelType w:val="multilevel"/>
    <w:tmpl w:val="1CAEB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6B7444"/>
    <w:multiLevelType w:val="multilevel"/>
    <w:tmpl w:val="3D12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E11651"/>
    <w:multiLevelType w:val="multilevel"/>
    <w:tmpl w:val="CF1E5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402D99"/>
    <w:multiLevelType w:val="multilevel"/>
    <w:tmpl w:val="142E7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505D2F"/>
    <w:multiLevelType w:val="multilevel"/>
    <w:tmpl w:val="5098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767A82"/>
    <w:multiLevelType w:val="multilevel"/>
    <w:tmpl w:val="1C4E6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2C3313"/>
    <w:multiLevelType w:val="multilevel"/>
    <w:tmpl w:val="59908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EF20DE"/>
    <w:multiLevelType w:val="multilevel"/>
    <w:tmpl w:val="52A0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7C18B1"/>
    <w:multiLevelType w:val="multilevel"/>
    <w:tmpl w:val="F506A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5F2BF8"/>
    <w:multiLevelType w:val="multilevel"/>
    <w:tmpl w:val="18C21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922FCA"/>
    <w:multiLevelType w:val="multilevel"/>
    <w:tmpl w:val="3FA87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35C6ED4"/>
    <w:multiLevelType w:val="multilevel"/>
    <w:tmpl w:val="F9D29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2241F"/>
    <w:multiLevelType w:val="multilevel"/>
    <w:tmpl w:val="D9DA2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773F15"/>
    <w:multiLevelType w:val="multilevel"/>
    <w:tmpl w:val="76BA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0C19E5"/>
    <w:multiLevelType w:val="multilevel"/>
    <w:tmpl w:val="2A68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D993238"/>
    <w:multiLevelType w:val="multilevel"/>
    <w:tmpl w:val="8352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D1487F"/>
    <w:multiLevelType w:val="multilevel"/>
    <w:tmpl w:val="C6B24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019286A"/>
    <w:multiLevelType w:val="multilevel"/>
    <w:tmpl w:val="5A88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1FE3368"/>
    <w:multiLevelType w:val="multilevel"/>
    <w:tmpl w:val="BE6C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95D1BAF"/>
    <w:multiLevelType w:val="multilevel"/>
    <w:tmpl w:val="7D9A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A385D56"/>
    <w:multiLevelType w:val="multilevel"/>
    <w:tmpl w:val="12AE1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C6D117D"/>
    <w:multiLevelType w:val="multilevel"/>
    <w:tmpl w:val="185C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D2478E0"/>
    <w:multiLevelType w:val="multilevel"/>
    <w:tmpl w:val="F70C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F370D0F"/>
    <w:multiLevelType w:val="multilevel"/>
    <w:tmpl w:val="3162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4B1B81"/>
    <w:multiLevelType w:val="multilevel"/>
    <w:tmpl w:val="9398B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3601A3C"/>
    <w:multiLevelType w:val="multilevel"/>
    <w:tmpl w:val="27ECD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B532308"/>
    <w:multiLevelType w:val="multilevel"/>
    <w:tmpl w:val="5DB0B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7A4355"/>
    <w:multiLevelType w:val="multilevel"/>
    <w:tmpl w:val="AFCA7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B331F1"/>
    <w:multiLevelType w:val="multilevel"/>
    <w:tmpl w:val="6AF8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4263D5"/>
    <w:multiLevelType w:val="multilevel"/>
    <w:tmpl w:val="46EAE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8A40B8D"/>
    <w:multiLevelType w:val="multilevel"/>
    <w:tmpl w:val="A164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6D2D8A"/>
    <w:multiLevelType w:val="multilevel"/>
    <w:tmpl w:val="80FC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792EB4"/>
    <w:multiLevelType w:val="multilevel"/>
    <w:tmpl w:val="EDEA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26"/>
  </w:num>
  <w:num w:numId="3">
    <w:abstractNumId w:val="17"/>
  </w:num>
  <w:num w:numId="4">
    <w:abstractNumId w:val="18"/>
  </w:num>
  <w:num w:numId="5">
    <w:abstractNumId w:val="3"/>
  </w:num>
  <w:num w:numId="6">
    <w:abstractNumId w:val="15"/>
  </w:num>
  <w:num w:numId="7">
    <w:abstractNumId w:val="7"/>
  </w:num>
  <w:num w:numId="8">
    <w:abstractNumId w:val="4"/>
  </w:num>
  <w:num w:numId="9">
    <w:abstractNumId w:val="32"/>
  </w:num>
  <w:num w:numId="10">
    <w:abstractNumId w:val="6"/>
  </w:num>
  <w:num w:numId="11">
    <w:abstractNumId w:val="24"/>
  </w:num>
  <w:num w:numId="12">
    <w:abstractNumId w:val="36"/>
  </w:num>
  <w:num w:numId="13">
    <w:abstractNumId w:val="22"/>
  </w:num>
  <w:num w:numId="14">
    <w:abstractNumId w:val="0"/>
  </w:num>
  <w:num w:numId="15">
    <w:abstractNumId w:val="2"/>
  </w:num>
  <w:num w:numId="16">
    <w:abstractNumId w:val="31"/>
  </w:num>
  <w:num w:numId="17">
    <w:abstractNumId w:val="46"/>
  </w:num>
  <w:num w:numId="18">
    <w:abstractNumId w:val="39"/>
  </w:num>
  <w:num w:numId="19">
    <w:abstractNumId w:val="12"/>
  </w:num>
  <w:num w:numId="20">
    <w:abstractNumId w:val="45"/>
  </w:num>
  <w:num w:numId="21">
    <w:abstractNumId w:val="5"/>
  </w:num>
  <w:num w:numId="22">
    <w:abstractNumId w:val="37"/>
  </w:num>
  <w:num w:numId="23">
    <w:abstractNumId w:val="47"/>
  </w:num>
  <w:num w:numId="24">
    <w:abstractNumId w:val="10"/>
  </w:num>
  <w:num w:numId="25">
    <w:abstractNumId w:val="13"/>
  </w:num>
  <w:num w:numId="26">
    <w:abstractNumId w:val="48"/>
  </w:num>
  <w:num w:numId="27">
    <w:abstractNumId w:val="43"/>
  </w:num>
  <w:num w:numId="28">
    <w:abstractNumId w:val="44"/>
  </w:num>
  <w:num w:numId="29">
    <w:abstractNumId w:val="20"/>
  </w:num>
  <w:num w:numId="30">
    <w:abstractNumId w:val="14"/>
  </w:num>
  <w:num w:numId="31">
    <w:abstractNumId w:val="21"/>
  </w:num>
  <w:num w:numId="32">
    <w:abstractNumId w:val="19"/>
  </w:num>
  <w:num w:numId="33">
    <w:abstractNumId w:val="9"/>
  </w:num>
  <w:num w:numId="34">
    <w:abstractNumId w:val="8"/>
  </w:num>
  <w:num w:numId="35">
    <w:abstractNumId w:val="11"/>
  </w:num>
  <w:num w:numId="36">
    <w:abstractNumId w:val="33"/>
  </w:num>
  <w:num w:numId="37">
    <w:abstractNumId w:val="42"/>
  </w:num>
  <w:num w:numId="38">
    <w:abstractNumId w:val="25"/>
  </w:num>
  <w:num w:numId="39">
    <w:abstractNumId w:val="41"/>
  </w:num>
  <w:num w:numId="40">
    <w:abstractNumId w:val="23"/>
  </w:num>
  <w:num w:numId="41">
    <w:abstractNumId w:val="27"/>
  </w:num>
  <w:num w:numId="42">
    <w:abstractNumId w:val="30"/>
  </w:num>
  <w:num w:numId="43">
    <w:abstractNumId w:val="28"/>
  </w:num>
  <w:num w:numId="44">
    <w:abstractNumId w:val="49"/>
  </w:num>
  <w:num w:numId="45">
    <w:abstractNumId w:val="1"/>
  </w:num>
  <w:num w:numId="46">
    <w:abstractNumId w:val="29"/>
  </w:num>
  <w:num w:numId="47">
    <w:abstractNumId w:val="35"/>
  </w:num>
  <w:num w:numId="48">
    <w:abstractNumId w:val="38"/>
  </w:num>
  <w:num w:numId="49">
    <w:abstractNumId w:val="16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A9"/>
    <w:rsid w:val="00053A85"/>
    <w:rsid w:val="00063B17"/>
    <w:rsid w:val="000A1858"/>
    <w:rsid w:val="000E0E0D"/>
    <w:rsid w:val="003606EA"/>
    <w:rsid w:val="006443F9"/>
    <w:rsid w:val="007E0354"/>
    <w:rsid w:val="008003D2"/>
    <w:rsid w:val="009214B1"/>
    <w:rsid w:val="00957BC7"/>
    <w:rsid w:val="009719E0"/>
    <w:rsid w:val="009E32CE"/>
    <w:rsid w:val="009F3BA4"/>
    <w:rsid w:val="00A03118"/>
    <w:rsid w:val="00AF7D87"/>
    <w:rsid w:val="00BF5BE7"/>
    <w:rsid w:val="00C0681C"/>
    <w:rsid w:val="00D81AA9"/>
    <w:rsid w:val="00D85D1C"/>
    <w:rsid w:val="00FE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5BA5A"/>
  <w15:chartTrackingRefBased/>
  <w15:docId w15:val="{D6A70BB8-3A7F-4FC9-9550-B867E1358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81A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81A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81AA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A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1A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81AA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ubtitle">
    <w:name w:val="subtitle"/>
    <w:basedOn w:val="a"/>
    <w:rsid w:val="00D8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s">
    <w:name w:val="credits"/>
    <w:basedOn w:val="a"/>
    <w:rsid w:val="00D8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cerpt">
    <w:name w:val="excerpt"/>
    <w:basedOn w:val="a"/>
    <w:rsid w:val="00D8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81AA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8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D8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4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804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060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1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6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54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75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4317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81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30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71929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47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83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3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36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7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462155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43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53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397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5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4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83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234380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683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316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324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94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1244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773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23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22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29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1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20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056664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95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027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696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41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147780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62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275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56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08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34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04686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188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306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516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0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42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94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83346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68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78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155987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3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38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37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9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04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53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82145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75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855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31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35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79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12255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8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83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187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446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6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14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76418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079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51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401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96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24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511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6595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258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7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670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255489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513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017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19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239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53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09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0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07676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10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69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733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30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52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617205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2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64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9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1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0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991844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108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854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74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5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93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335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55266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84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037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585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7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08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355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770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55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55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1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84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14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175034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87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2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159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82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577074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44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82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065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45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038206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8129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90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509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901680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1112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67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83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52259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882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66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050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546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8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07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4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68505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71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9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0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1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0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8317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17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06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282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5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335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8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9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27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0143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58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2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20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3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53628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74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13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3078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42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42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2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3925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6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3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1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6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1562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6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8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60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97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22971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2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8954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670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30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3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1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62520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53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5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4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3099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79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6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2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9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324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4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80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245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094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79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64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795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3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4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4824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77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9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2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4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73774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89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1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7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0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0517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7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06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11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86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7937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01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77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5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0490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11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5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6978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3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9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5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4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1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46232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07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8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570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8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7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672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62717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0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5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4344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48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ature.com/articles/s41561-019-0503-7" TargetMode="External"/><Relationship Id="rId21" Type="http://schemas.openxmlformats.org/officeDocument/2006/relationships/hyperlink" Target="https://journals.sagepub.com/doi/full/10.1177/0959683616658530" TargetMode="External"/><Relationship Id="rId42" Type="http://schemas.openxmlformats.org/officeDocument/2006/relationships/hyperlink" Target="https://www.nature.com/articles/nature14240" TargetMode="External"/><Relationship Id="rId47" Type="http://schemas.openxmlformats.org/officeDocument/2006/relationships/hyperlink" Target="https://agupubs.onlinelibrary.wiley.com/doi/abs/10.1029/JZ070i024p06053" TargetMode="External"/><Relationship Id="rId63" Type="http://schemas.openxmlformats.org/officeDocument/2006/relationships/hyperlink" Target="https://www.pnas.org/content/104/39/15248.short" TargetMode="External"/><Relationship Id="rId68" Type="http://schemas.openxmlformats.org/officeDocument/2006/relationships/image" Target="media/image17.jpeg"/><Relationship Id="rId16" Type="http://schemas.openxmlformats.org/officeDocument/2006/relationships/hyperlink" Target="https://agupubs.onlinelibrary.wiley.com/doi/10.1029/2009GL040142" TargetMode="External"/><Relationship Id="rId11" Type="http://schemas.openxmlformats.org/officeDocument/2006/relationships/hyperlink" Target="https://www.psu.edu/ur/2014/fromlive/Final_Investigation_Report.pdf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journals.sagepub.com/doi/10.1260/095830503322793632" TargetMode="External"/><Relationship Id="rId53" Type="http://schemas.openxmlformats.org/officeDocument/2006/relationships/image" Target="media/image13.png"/><Relationship Id="rId58" Type="http://schemas.openxmlformats.org/officeDocument/2006/relationships/hyperlink" Target="https://onlinelibrary.wiley.com/doi/abs/10.1111/j.2153-3490.1956.tb01206.x" TargetMode="External"/><Relationship Id="rId74" Type="http://schemas.openxmlformats.org/officeDocument/2006/relationships/image" Target="media/image19.jpeg"/><Relationship Id="rId79" Type="http://schemas.openxmlformats.org/officeDocument/2006/relationships/image" Target="media/image24.png"/><Relationship Id="rId5" Type="http://schemas.openxmlformats.org/officeDocument/2006/relationships/hyperlink" Target="https://nplus1.ru/material/2020/01/24/not-hockey-stick-for-climate-change?fbclid" TargetMode="External"/><Relationship Id="rId61" Type="http://schemas.openxmlformats.org/officeDocument/2006/relationships/hyperlink" Target="https://science.sciencemag.org/content/302/5643/269" TargetMode="External"/><Relationship Id="rId19" Type="http://schemas.openxmlformats.org/officeDocument/2006/relationships/hyperlink" Target="https://agupubs.onlinelibrary.wiley.com/doi/full/10.1029/2011GL050168" TargetMode="External"/><Relationship Id="rId14" Type="http://schemas.openxmlformats.org/officeDocument/2006/relationships/hyperlink" Target="https://www.theguardian.com/environment/georgemonbiot/2010/jun/24/sunday-times-amazongate-ipcc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4.png"/><Relationship Id="rId30" Type="http://schemas.openxmlformats.org/officeDocument/2006/relationships/hyperlink" Target="https://www.nature.com/articles/33859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s://www.nature.com/articles/nature14240" TargetMode="External"/><Relationship Id="rId48" Type="http://schemas.openxmlformats.org/officeDocument/2006/relationships/hyperlink" Target="https://www.nature.com/articles/20859" TargetMode="External"/><Relationship Id="rId56" Type="http://schemas.openxmlformats.org/officeDocument/2006/relationships/image" Target="media/image15.png"/><Relationship Id="rId64" Type="http://schemas.openxmlformats.org/officeDocument/2006/relationships/hyperlink" Target="https://www.pnas.org/content/115/9/2022.short" TargetMode="External"/><Relationship Id="rId69" Type="http://schemas.openxmlformats.org/officeDocument/2006/relationships/hyperlink" Target="https://onlinelibrary.wiley.com/doi/full/10.1002/wcc.125" TargetMode="External"/><Relationship Id="rId77" Type="http://schemas.openxmlformats.org/officeDocument/2006/relationships/image" Target="media/image22.jpeg"/><Relationship Id="rId8" Type="http://schemas.openxmlformats.org/officeDocument/2006/relationships/image" Target="media/image1.jpeg"/><Relationship Id="rId51" Type="http://schemas.openxmlformats.org/officeDocument/2006/relationships/hyperlink" Target="https://www.sciencedirect.com/science/article/pii/0160412079900059?via%3Dihub" TargetMode="External"/><Relationship Id="rId72" Type="http://schemas.openxmlformats.org/officeDocument/2006/relationships/hyperlink" Target="https://onlinelibrary.wiley.com/doi/pdf/10.1002/wcc.95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cce-review.org/" TargetMode="External"/><Relationship Id="rId17" Type="http://schemas.openxmlformats.org/officeDocument/2006/relationships/hyperlink" Target="https://journals.ametsoc.org/doi/full/10.1175/JCLI-D-16-0498.1" TargetMode="External"/><Relationship Id="rId25" Type="http://schemas.openxmlformats.org/officeDocument/2006/relationships/hyperlink" Target="https://www.nature.com/articles/s41561-019-0400-0" TargetMode="External"/><Relationship Id="rId33" Type="http://schemas.openxmlformats.org/officeDocument/2006/relationships/hyperlink" Target="https://www.sciencedirect.com/science/article/abs/pii/0031018265900040" TargetMode="External"/><Relationship Id="rId38" Type="http://schemas.openxmlformats.org/officeDocument/2006/relationships/hyperlink" Target="http://www.meteo.psu.edu/holocene/public_html/shared/research/MANNETAL98/" TargetMode="External"/><Relationship Id="rId46" Type="http://schemas.openxmlformats.org/officeDocument/2006/relationships/image" Target="media/image11.jpeg"/><Relationship Id="rId59" Type="http://schemas.openxmlformats.org/officeDocument/2006/relationships/image" Target="media/image16.jpeg"/><Relationship Id="rId67" Type="http://schemas.openxmlformats.org/officeDocument/2006/relationships/hyperlink" Target="https://agupubs.onlinelibrary.wiley.com/doi/full/10.1029/2009GL040222" TargetMode="External"/><Relationship Id="rId20" Type="http://schemas.openxmlformats.org/officeDocument/2006/relationships/hyperlink" Target="https://science.sciencemag.org/content/289/5477/270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14.png"/><Relationship Id="rId62" Type="http://schemas.openxmlformats.org/officeDocument/2006/relationships/hyperlink" Target="https://science.sciencemag.org/content/363/6423/128" TargetMode="External"/><Relationship Id="rId70" Type="http://schemas.openxmlformats.org/officeDocument/2006/relationships/hyperlink" Target="https://agupubs.onlinelibrary.wiley.com/doi/10.1029/2002RG000121" TargetMode="External"/><Relationship Id="rId75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novayagazeta.ru/articles/2020/01/06/83362-tserkov-globalnogo-potepleniya" TargetMode="External"/><Relationship Id="rId15" Type="http://schemas.openxmlformats.org/officeDocument/2006/relationships/image" Target="media/image2.jpeg"/><Relationship Id="rId23" Type="http://schemas.openxmlformats.org/officeDocument/2006/relationships/hyperlink" Target="https://link.springer.com/article/10.1007/s10584-006-9105-7" TargetMode="External"/><Relationship Id="rId28" Type="http://schemas.openxmlformats.org/officeDocument/2006/relationships/hyperlink" Target="https://journals.ametsoc.org/doi/full/10.1175/JCLI-D-12-00826.1" TargetMode="External"/><Relationship Id="rId36" Type="http://schemas.openxmlformats.org/officeDocument/2006/relationships/hyperlink" Target="https://agupubs.onlinelibrary.wiley.com/doi/full/10.1029/2004GL021750" TargetMode="External"/><Relationship Id="rId49" Type="http://schemas.openxmlformats.org/officeDocument/2006/relationships/image" Target="media/image12.png"/><Relationship Id="rId57" Type="http://schemas.openxmlformats.org/officeDocument/2006/relationships/hyperlink" Target="https://www.tandfonline.com/doi/abs/10.1080/14786449608620846" TargetMode="External"/><Relationship Id="rId10" Type="http://schemas.openxmlformats.org/officeDocument/2006/relationships/hyperlink" Target="https://publications.parliament.uk/pa/cm201011/cmselect/cmsctech/444/44405.htm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0.png"/><Relationship Id="rId52" Type="http://schemas.openxmlformats.org/officeDocument/2006/relationships/hyperlink" Target="https://www.sciencedirect.com/science/article/pii/0016703761900230?via%3Dihub" TargetMode="External"/><Relationship Id="rId60" Type="http://schemas.openxmlformats.org/officeDocument/2006/relationships/hyperlink" Target="https://www.pnas.org/content/103/39/14288.short" TargetMode="External"/><Relationship Id="rId65" Type="http://schemas.openxmlformats.org/officeDocument/2006/relationships/hyperlink" Target="https://agupubs.onlinelibrary.wiley.com/doi/full/10.1029/2007GL031138" TargetMode="External"/><Relationship Id="rId73" Type="http://schemas.openxmlformats.org/officeDocument/2006/relationships/hyperlink" Target="https://www.nature.com/articles/nature14956" TargetMode="External"/><Relationship Id="rId78" Type="http://schemas.openxmlformats.org/officeDocument/2006/relationships/image" Target="media/image23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Climatic_Research_Unit_email_controversy" TargetMode="External"/><Relationship Id="rId13" Type="http://schemas.openxmlformats.org/officeDocument/2006/relationships/hyperlink" Target="http://www.uea.ac.uk/about/media-room/press-release-archive/cru-statements/rebuttals-and-corrections/john-humphrys" TargetMode="External"/><Relationship Id="rId18" Type="http://schemas.openxmlformats.org/officeDocument/2006/relationships/hyperlink" Target="https://agupubs.onlinelibrary.wiley.com/doi/full/10.1029/2008JD010239" TargetMode="External"/><Relationship Id="rId39" Type="http://schemas.openxmlformats.org/officeDocument/2006/relationships/hyperlink" Target="http://sciences.amisbnf.org/fr/livre/remarques-generales-sur-les-temperatures-du-globe-terrestre-et-des-espaces-planetaires" TargetMode="External"/><Relationship Id="rId34" Type="http://schemas.openxmlformats.org/officeDocument/2006/relationships/hyperlink" Target="https://www.nature.com/articles/s41586-019-1401-2" TargetMode="External"/><Relationship Id="rId50" Type="http://schemas.openxmlformats.org/officeDocument/2006/relationships/hyperlink" Target="https://www.sciencedirect.com/science/article/pii/S1387380603002896" TargetMode="External"/><Relationship Id="rId55" Type="http://schemas.openxmlformats.org/officeDocument/2006/relationships/hyperlink" Target="http://downloads.igce.ru/journals/FAC/FAC_2017/FAC_2017_4/Eliseev_A_V_FAC_2017_4.pdf" TargetMode="External"/><Relationship Id="rId76" Type="http://schemas.openxmlformats.org/officeDocument/2006/relationships/image" Target="media/image21.png"/><Relationship Id="rId7" Type="http://schemas.openxmlformats.org/officeDocument/2006/relationships/hyperlink" Target="https://www.nature.com/articles/33859" TargetMode="External"/><Relationship Id="rId71" Type="http://schemas.openxmlformats.org/officeDocument/2006/relationships/image" Target="media/image18.jpeg"/><Relationship Id="rId2" Type="http://schemas.openxmlformats.org/officeDocument/2006/relationships/styles" Target="styles.xml"/><Relationship Id="rId29" Type="http://schemas.openxmlformats.org/officeDocument/2006/relationships/image" Target="media/image5.png"/><Relationship Id="rId24" Type="http://schemas.openxmlformats.org/officeDocument/2006/relationships/hyperlink" Target="https://www.pnas.org/content/105/36/13252" TargetMode="External"/><Relationship Id="rId40" Type="http://schemas.openxmlformats.org/officeDocument/2006/relationships/hyperlink" Target="https://www.tandfonline.com/doi/abs/10.1080/14786446108643138" TargetMode="External"/><Relationship Id="rId45" Type="http://schemas.openxmlformats.org/officeDocument/2006/relationships/hyperlink" Target="https://link.springer.com/article/10.1007/s40641-017-0058-x" TargetMode="External"/><Relationship Id="rId66" Type="http://schemas.openxmlformats.org/officeDocument/2006/relationships/hyperlink" Target="https://www.nature.com/articles/s41586-019-1071-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29</Pages>
  <Words>6079</Words>
  <Characters>34653</Characters>
  <Application>Microsoft Office Word</Application>
  <DocSecurity>0</DocSecurity>
  <Lines>288</Lines>
  <Paragraphs>81</Paragraphs>
  <ScaleCrop>false</ScaleCrop>
  <Company/>
  <LinksUpToDate>false</LinksUpToDate>
  <CharactersWithSpaces>40651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20</cp:revision>
  <dcterms:created xsi:type="dcterms:W3CDTF">2020-01-25T12:39:00Z</dcterms:created>
  <dcterms:modified xsi:type="dcterms:W3CDTF">2020-01-25T13:48:00Z</dcterms:modified>
</cp:coreProperties>
</file>